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आई आई सी टी</w:t>
        <w:br/>
        <w:t>IICT</w:t>
        <w:br/>
      </w:r>
      <w:r>
        <w:rPr>
          <w:rFonts w:ascii="Times New Roman" w:hAnsi="Times New Roman"/>
          <w:b/>
          <w:i w:val="0"/>
          <w:sz w:val="32"/>
        </w:rPr>
        <w:t>भारतीय संगणक एवं प्रौद्योगिकी संस्थान</w:t>
        <w:br/>
        <w:t>INDIAN INSTITUTE OF COMPUTING AND TECHNOLOGY</w:t>
        <w:br/>
      </w:r>
      <w:r>
        <w:rPr>
          <w:rFonts w:ascii="Times New Roman" w:hAnsi="Times New Roman"/>
          <w:b/>
          <w:i w:val="0"/>
          <w:sz w:val="16"/>
        </w:rPr>
        <w:t>AFFILIATED: I-STEM, OFFICE OF THE PRINCIPAL SCIENTIFIC ADVISER TO THE GOVERNMENT OF INDIA</w:t>
        <w:br/>
      </w:r>
    </w:p>
    <w:p>
      <w:pPr>
        <w:spacing w:before="720" w:after="720"/>
        <w:jc w:val="center"/>
      </w:pPr>
      <w:r>
        <w:rPr>
          <w:rFonts w:ascii="Times New Roman" w:hAnsi="Times New Roman"/>
          <w:b/>
          <w:i w:val="0"/>
          <w:sz w:val="36"/>
        </w:rPr>
        <w:t>AI-Driven Phishing Email Detection Using NLP</w:t>
        <w:br/>
        <w:t>(Natural Language Processing)</w:t>
      </w:r>
    </w:p>
    <w:p>
      <w:pPr>
        <w:spacing w:after="480"/>
        <w:jc w:val="center"/>
      </w:pPr>
      <w:r>
        <w:rPr>
          <w:rFonts w:ascii="Times New Roman" w:hAnsi="Times New Roman"/>
          <w:b/>
          <w:i w:val="0"/>
          <w:sz w:val="36"/>
        </w:rPr>
        <w:t>Project Report</w:t>
        <w:br/>
        <w:t>15th June to 30th July 2026</w:t>
      </w:r>
    </w:p>
    <w:tbl>
      <w:tblPr>
        <w:tblW w:type="auto" w:w="0"/>
        <w:jc w:val="center"/>
        <w:tblLayout w:type="fixed"/>
        <w:tblLook w:firstColumn="1" w:firstRow="1" w:lastColumn="0" w:lastRow="0" w:noHBand="0" w:noVBand="1" w:val="04A0"/>
      </w:tblPr>
      <w:tblGrid>
        <w:gridCol w:w="5130"/>
        <w:gridCol w:w="5130"/>
      </w:tblGrid>
      <w:tr>
        <w:tc>
          <w:tcPr>
            <w:tcW w:type="dxa" w:w="3168"/>
          </w:tcPr>
          <w:p>
            <w:pPr>
              <w:spacing w:after="120"/>
            </w:pPr>
            <w:r>
              <w:rPr>
                <w:rFonts w:ascii="Times New Roman" w:hAnsi="Times New Roman"/>
                <w:b/>
                <w:i w:val="0"/>
                <w:sz w:val="28"/>
              </w:rPr>
              <w:t>Student Name:</w:t>
            </w:r>
          </w:p>
        </w:tc>
        <w:tc>
          <w:tcPr>
            <w:tcW w:type="dxa" w:w="5472"/>
          </w:tcPr>
          <w:p>
            <w:pPr>
              <w:spacing w:after="120"/>
            </w:pPr>
            <w:r>
              <w:rPr>
                <w:rFonts w:ascii="Times New Roman" w:hAnsi="Times New Roman"/>
                <w:b w:val="0"/>
                <w:i w:val="0"/>
                <w:sz w:val="28"/>
              </w:rPr>
              <w:t>Anand krishna G R Nair</w:t>
            </w:r>
          </w:p>
        </w:tc>
      </w:tr>
      <w:tr>
        <w:tc>
          <w:tcPr>
            <w:tcW w:type="dxa" w:w="3168"/>
          </w:tcPr>
          <w:p>
            <w:pPr>
              <w:spacing w:after="120"/>
            </w:pPr>
            <w:r>
              <w:rPr>
                <w:rFonts w:ascii="Times New Roman" w:hAnsi="Times New Roman"/>
                <w:b/>
                <w:i w:val="0"/>
                <w:sz w:val="28"/>
              </w:rPr>
              <w:t>Institute Name:</w:t>
            </w:r>
          </w:p>
        </w:tc>
        <w:tc>
          <w:tcPr>
            <w:tcW w:type="dxa" w:w="5472"/>
          </w:tcPr>
          <w:p>
            <w:pPr>
              <w:spacing w:after="120"/>
            </w:pPr>
            <w:r>
              <w:rPr>
                <w:rFonts w:ascii="Times New Roman" w:hAnsi="Times New Roman"/>
                <w:b w:val="0"/>
                <w:i w:val="0"/>
                <w:sz w:val="28"/>
              </w:rPr>
              <w:t>Jecrc University</w:t>
            </w:r>
          </w:p>
        </w:tc>
      </w:tr>
      <w:tr>
        <w:tc>
          <w:tcPr>
            <w:tcW w:type="dxa" w:w="3168"/>
          </w:tcPr>
          <w:p>
            <w:pPr>
              <w:spacing w:after="120"/>
            </w:pPr>
            <w:r>
              <w:rPr>
                <w:rFonts w:ascii="Times New Roman" w:hAnsi="Times New Roman"/>
                <w:b/>
                <w:i w:val="0"/>
                <w:sz w:val="28"/>
              </w:rPr>
              <w:t>Institute Roll no.:</w:t>
            </w:r>
          </w:p>
        </w:tc>
        <w:tc>
          <w:tcPr>
            <w:tcW w:type="dxa" w:w="5472"/>
          </w:tcPr>
          <w:p>
            <w:pPr>
              <w:spacing w:after="120"/>
            </w:pPr>
            <w:r>
              <w:rPr>
                <w:rFonts w:ascii="Times New Roman" w:hAnsi="Times New Roman"/>
                <w:b w:val="0"/>
                <w:i w:val="0"/>
                <w:sz w:val="28"/>
              </w:rPr>
              <w:t>23BCON1613</w:t>
            </w:r>
          </w:p>
        </w:tc>
      </w:tr>
      <w:tr>
        <w:tc>
          <w:tcPr>
            <w:tcW w:type="dxa" w:w="3168"/>
          </w:tcPr>
          <w:p>
            <w:pPr>
              <w:spacing w:after="120"/>
            </w:pPr>
            <w:r>
              <w:rPr>
                <w:rFonts w:ascii="Times New Roman" w:hAnsi="Times New Roman"/>
                <w:b/>
                <w:i w:val="0"/>
                <w:sz w:val="28"/>
              </w:rPr>
              <w:t>Enrollment no.:</w:t>
            </w:r>
          </w:p>
        </w:tc>
        <w:tc>
          <w:tcPr>
            <w:tcW w:type="dxa" w:w="5472"/>
          </w:tcPr>
          <w:p>
            <w:pPr>
              <w:spacing w:after="120"/>
            </w:pPr>
            <w:r>
              <w:rPr>
                <w:rFonts w:ascii="Times New Roman" w:hAnsi="Times New Roman"/>
                <w:b w:val="0"/>
                <w:i w:val="0"/>
                <w:sz w:val="28"/>
              </w:rPr>
              <w:t>596563</w:t>
            </w:r>
          </w:p>
        </w:tc>
      </w:tr>
    </w:tbl>
    <w:p>
      <w:r>
        <w:br w:type="page"/>
      </w:r>
    </w:p>
    <w:p>
      <w:pPr>
        <w:spacing w:before="0" w:after="80"/>
        <w:jc w:val="center"/>
      </w:pPr>
      <w:r>
        <w:rPr>
          <w:rFonts w:ascii="Times New Roman" w:hAnsi="Times New Roman"/>
          <w:b/>
          <w:i w:val="0"/>
          <w:sz w:val="40"/>
        </w:rPr>
        <w:t>AI-Driven Phishing Email Detection Using NLP</w:t>
      </w:r>
    </w:p>
    <w:p>
      <w:pPr>
        <w:spacing w:after="280"/>
        <w:jc w:val="center"/>
      </w:pPr>
      <w:r>
        <w:rPr>
          <w:rFonts w:ascii="Times New Roman" w:hAnsi="Times New Roman"/>
          <w:b w:val="0"/>
          <w:i w:val="0"/>
          <w:sz w:val="24"/>
        </w:rPr>
        <w:t>Anand Krishna G R Nair</w:t>
        <w:br/>
      </w:r>
      <w:r>
        <w:rPr>
          <w:rFonts w:ascii="Times New Roman" w:hAnsi="Times New Roman"/>
          <w:b w:val="0"/>
          <w:i/>
          <w:sz w:val="20"/>
        </w:rPr>
        <w:t>Department of Computer Science and Engineering</w:t>
        <w:br/>
        <w:t>Indian Institute of Computing and Technology (IICT), New Delhi — 110092</w:t>
        <w:br/>
        <w:t>Registration No: 596563</w:t>
        <w:br/>
        <w:t>Email: anandkrishnag.rnair@gmail.com</w:t>
        <w:br/>
        <w:t>ORCID: 0009-0008-0757-1566</w:t>
        <w:br/>
      </w:r>
      <w:r>
        <w:rPr>
          <w:rFonts w:ascii="Times New Roman" w:hAnsi="Times New Roman"/>
          <w:b w:val="0"/>
          <w:i w:val="0"/>
          <w:sz w:val="19"/>
        </w:rPr>
        <w:br/>
        <w:t>Manuscript received 1 July 2026; revised 10 July 2026; accepted 25 July 2026.</w:t>
      </w:r>
    </w:p>
    <w:p>
      <w:pPr>
        <w:sectPr>
          <w:pgSz w:w="12240" w:h="15840"/>
          <w:pgMar w:top="1440" w:right="990" w:bottom="1620" w:left="990" w:header="720" w:footer="720" w:gutter="0"/>
          <w:cols w:space="720"/>
          <w:docGrid w:linePitch="360"/>
        </w:sectPr>
      </w:pPr>
    </w:p>
    <w:p>
      <w:pPr>
        <w:spacing w:after="120" w:line="240" w:lineRule="auto"/>
        <w:jc w:val="both"/>
      </w:pPr>
      <w:r>
        <w:rPr>
          <w:rFonts w:ascii="Times New Roman" w:hAnsi="Times New Roman"/>
          <w:b/>
          <w:i/>
          <w:sz w:val="20"/>
        </w:rPr>
        <w:t xml:space="preserve">Abstract — </w:t>
      </w:r>
      <w:r>
        <w:rPr>
          <w:rFonts w:ascii="Times New Roman" w:hAnsi="Times New Roman"/>
          <w:b w:val="0"/>
          <w:i w:val="0"/>
          <w:sz w:val="20"/>
        </w:rPr>
        <w:t>Modern electronic mail infrastructure remains highly vulnerable to adversarial phishing attacks that bypass technical gateways by exploiting human cognitive trust. This project implements a high-accuracy, low-latency machine learning system for real-time phishing classification. Using a benchmark dataset of 17,535 preprocessed email samples, we construct a 5,112-dimensional hybrid feature matrix integrating sublinear TF-IDF n-grams (5,000 features), custom dense Word2Vec CBOW embeddings (100 features), and 12 structural metadata metrics. On an independent 20% holdout test set (3,507 samples), the Soft-Voting Ensemble achieved an Accuracy of 98.52%, a Precision of 98.09%, a Recall of 97.94%, and an F1-Score of 98.02% with an average inference latency of 2.10 ms per email.</w:t>
      </w:r>
    </w:p>
    <w:p>
      <w:pPr>
        <w:spacing w:after="240" w:line="240" w:lineRule="auto"/>
        <w:jc w:val="both"/>
      </w:pPr>
      <w:r>
        <w:rPr>
          <w:rFonts w:ascii="Times New Roman" w:hAnsi="Times New Roman"/>
          <w:b/>
          <w:i/>
          <w:sz w:val="20"/>
        </w:rPr>
        <w:t xml:space="preserve">Index Terms — </w:t>
      </w:r>
      <w:r>
        <w:rPr>
          <w:rFonts w:ascii="Times New Roman" w:hAnsi="Times New Roman"/>
          <w:b w:val="0"/>
          <w:i w:val="0"/>
          <w:sz w:val="20"/>
        </w:rPr>
        <w:t>Cybersecurity, Email Classification, Feature Engineering, Machine Learning, Natural Language Processing, Phishing Detection, Soft-Voting Ensemble, TF-IDF, Word2Vec.</w:t>
      </w:r>
    </w:p>
    <w:p>
      <w:pPr>
        <w:keepNext/>
        <w:spacing w:before="280" w:after="120"/>
        <w:jc w:val="center"/>
      </w:pPr>
      <w:r>
        <w:rPr>
          <w:rFonts w:ascii="Times New Roman" w:hAnsi="Times New Roman"/>
          <w:b/>
          <w:i w:val="0"/>
          <w:sz w:val="20"/>
        </w:rPr>
        <w:t>INTRODUCTION &amp; THREAT LANDSCAPE</w:t>
      </w:r>
    </w:p>
    <w:p>
      <w:pPr>
        <w:keepNext/>
        <w:spacing w:before="200" w:after="80"/>
        <w:jc w:val="left"/>
      </w:pPr>
      <w:r>
        <w:rPr>
          <w:rFonts w:ascii="Times New Roman" w:hAnsi="Times New Roman"/>
          <w:b w:val="0"/>
          <w:i/>
          <w:sz w:val="20"/>
        </w:rPr>
        <w:t>Threat Evolution and Enterprise Risk</w:t>
      </w:r>
    </w:p>
    <w:p>
      <w:pPr>
        <w:spacing w:after="80" w:line="240" w:lineRule="auto"/>
        <w:ind w:firstLine="245"/>
        <w:jc w:val="both"/>
      </w:pPr>
      <w:r>
        <w:rPr>
          <w:rFonts w:ascii="Times New Roman" w:hAnsi="Times New Roman"/>
          <w:b w:val="0"/>
          <w:i w:val="0"/>
          <w:sz w:val="20"/>
        </w:rPr>
        <w:t>Electronic mail is the primary communication protocol across enterprise, academic, and government organizations. However, cybersecurity telemetry confirms that over 90% of organizational cyber incidents originate from malicious email messages. Unlike network exploitation that targets software bugs, phishing attacks exploit human cognitive biases—such as perceived urgency, fear of service suspension, and authority mimicry.</w:t>
      </w:r>
    </w:p>
    <w:p>
      <w:pPr>
        <w:spacing w:after="80" w:line="240" w:lineRule="auto"/>
        <w:ind w:firstLine="245"/>
        <w:jc w:val="both"/>
      </w:pPr>
      <w:r>
        <w:rPr>
          <w:rFonts w:ascii="Times New Roman" w:hAnsi="Times New Roman"/>
          <w:b w:val="0"/>
          <w:i w:val="0"/>
          <w:sz w:val="20"/>
        </w:rPr>
        <w:t>Early spam filtering relied on static URL blacklists and simple keyword matching. While effective against known spam, static blacklists fail against zero-day phishing campaigns, rapid domain rotation, and obfuscated text payloads. Attackers routinely employ evasion tactics, including inserting invisible HTML comments between urgent letters or redirecting underlying href attributes while displaying clean anchor text.</w:t>
      </w:r>
    </w:p>
    <w:p>
      <w:pPr>
        <w:keepNext/>
        <w:spacing w:before="280" w:after="120"/>
        <w:jc w:val="center"/>
      </w:pPr>
      <w:r>
        <w:rPr>
          <w:rFonts w:ascii="Times New Roman" w:hAnsi="Times New Roman"/>
          <w:b/>
          <w:i w:val="0"/>
          <w:sz w:val="20"/>
        </w:rPr>
        <w:t>LITERATURE REVIEW &amp; TAXONOMY</w:t>
      </w:r>
    </w:p>
    <w:p>
      <w:pPr>
        <w:spacing w:after="80" w:line="240" w:lineRule="auto"/>
        <w:ind w:firstLine="245"/>
        <w:jc w:val="both"/>
      </w:pPr>
      <w:r>
        <w:rPr>
          <w:rFonts w:ascii="Times New Roman" w:hAnsi="Times New Roman"/>
          <w:b w:val="0"/>
          <w:i w:val="0"/>
          <w:sz w:val="20"/>
        </w:rPr>
        <w:t>Automated email filtering has evolved from statistical Naive Bayes spam classifiers (Sahami et al., 1998) to modern deep learning architectures. Egozi and Verma (2018) proved that grammatical and structural formatting flags significantly enhance resilience against text obfuscation. Al-Subaee and Al-Zahrani (2020) confirmed that combining lexical body features with URL metadata reduces false-positive rates.</w:t>
      </w:r>
    </w:p>
    <w:p>
      <w:pPr>
        <w:keepNext/>
        <w:spacing w:before="280" w:after="120"/>
        <w:jc w:val="center"/>
      </w:pPr>
      <w:r>
        <w:rPr>
          <w:rFonts w:ascii="Times New Roman" w:hAnsi="Times New Roman"/>
          <w:b/>
          <w:i w:val="0"/>
          <w:sz w:val="20"/>
        </w:rPr>
        <w:t>SYSTEM ARCHITECTURE &amp; METHODOLOGY</w:t>
      </w:r>
    </w:p>
    <w:p>
      <w:pPr>
        <w:spacing w:after="80" w:line="240" w:lineRule="auto"/>
        <w:ind w:firstLine="245"/>
        <w:jc w:val="both"/>
      </w:pPr>
      <w:r>
        <w:rPr>
          <w:rFonts w:ascii="Times New Roman" w:hAnsi="Times New Roman"/>
          <w:b w:val="0"/>
          <w:i w:val="0"/>
          <w:sz w:val="20"/>
        </w:rPr>
        <w:t>The system architecture follows a modular feed-forward pipeline. Raw email streams are parsed via BeautifulSoup, sanitized, vectorized using TF-IDF and Word2Vec, concatenated with 12 structural metadata metrics, and classified via an ensemble.</w:t>
      </w:r>
    </w:p>
    <w:p>
      <w:pPr>
        <w:spacing w:before="120" w:after="40"/>
        <w:jc w:val="center"/>
      </w:pPr>
      <w:r>
        <w:drawing>
          <wp:inline xmlns:a="http://schemas.openxmlformats.org/drawingml/2006/main" xmlns:pic="http://schemas.openxmlformats.org/drawingml/2006/picture">
            <wp:extent cx="2971800" cy="1671638"/>
            <wp:docPr id="1" name="Picture 1"/>
            <wp:cNvGraphicFramePr>
              <a:graphicFrameLocks noChangeAspect="1"/>
            </wp:cNvGraphicFramePr>
            <a:graphic>
              <a:graphicData uri="http://schemas.openxmlformats.org/drawingml/2006/picture">
                <pic:pic>
                  <pic:nvPicPr>
                    <pic:cNvPr id="0" name="pipeline_architecture.png"/>
                    <pic:cNvPicPr/>
                  </pic:nvPicPr>
                  <pic:blipFill>
                    <a:blip r:embed="rId9"/>
                    <a:stretch>
                      <a:fillRect/>
                    </a:stretch>
                  </pic:blipFill>
                  <pic:spPr>
                    <a:xfrm>
                      <a:off x="0" y="0"/>
                      <a:ext cx="2971800" cy="1671638"/>
                    </a:xfrm>
                    <a:prstGeom prst="rect"/>
                  </pic:spPr>
                </pic:pic>
              </a:graphicData>
            </a:graphic>
          </wp:inline>
        </w:drawing>
      </w:r>
    </w:p>
    <w:p>
      <w:pPr>
        <w:spacing w:after="160"/>
        <w:jc w:val="center"/>
      </w:pPr>
      <w:r>
        <w:rPr>
          <w:rFonts w:ascii="Times New Roman" w:hAnsi="Times New Roman"/>
          <w:b w:val="0"/>
          <w:i w:val="0"/>
          <w:sz w:val="17"/>
        </w:rPr>
        <w:t>FIGURE 1. End-to-end hybrid phishing detection pipeline architecture.</w:t>
      </w:r>
    </w:p>
    <w:p>
      <w:pPr>
        <w:keepNext/>
        <w:spacing w:before="280" w:after="120"/>
        <w:jc w:val="center"/>
      </w:pPr>
      <w:r>
        <w:rPr>
          <w:rFonts w:ascii="Times New Roman" w:hAnsi="Times New Roman"/>
          <w:b/>
          <w:i w:val="0"/>
          <w:sz w:val="20"/>
        </w:rPr>
        <w:t>MATHEMATICAL FORMULATIONS</w:t>
      </w:r>
    </w:p>
    <w:p>
      <w:pPr>
        <w:spacing w:after="80" w:line="240" w:lineRule="auto"/>
        <w:ind w:firstLine="245"/>
        <w:jc w:val="both"/>
      </w:pPr>
      <w:r>
        <w:rPr>
          <w:rFonts w:ascii="Times New Roman" w:hAnsi="Times New Roman"/>
          <w:b w:val="0"/>
          <w:i w:val="0"/>
          <w:sz w:val="20"/>
        </w:rPr>
        <w:t>Sublinear TF-IDF scaling is computed as: TF-IDF(t, d) = (1 + log(tf(t, d))) * log(1 + N / df(t)). Dense Word2Vec vectors are averaged per document: v_d = sum(v_w) / |d|. The 5,112-dimensional feature matrix is concatenated as X_final = [ X_tfidf || Scale(V_w2v) || Scale(M_meta) ].</w:t>
      </w:r>
    </w:p>
    <w:p>
      <w:pPr>
        <w:keepNext/>
        <w:spacing w:before="280" w:after="120"/>
        <w:jc w:val="center"/>
      </w:pPr>
      <w:r>
        <w:rPr>
          <w:rFonts w:ascii="Times New Roman" w:hAnsi="Times New Roman"/>
          <w:b/>
          <w:i w:val="0"/>
          <w:sz w:val="20"/>
        </w:rPr>
        <w:t>EXPERIMENTAL RESULTS &amp; EVALUATION</w:t>
      </w:r>
    </w:p>
    <w:p>
      <w:pPr>
        <w:spacing w:after="80" w:line="240" w:lineRule="auto"/>
        <w:ind w:firstLine="245"/>
        <w:jc w:val="both"/>
      </w:pPr>
      <w:r>
        <w:rPr>
          <w:rFonts w:ascii="Times New Roman" w:hAnsi="Times New Roman"/>
          <w:b w:val="0"/>
          <w:i w:val="0"/>
          <w:sz w:val="20"/>
        </w:rPr>
        <w:t>The benchmark dataset consists of 17,535 cleaned emails (10,977 safe, 6,558 phishing). Models were evaluated on a 20% holdout test set (3,507 samples) after 5-fold Stratified Cross-Validation.</w:t>
      </w:r>
    </w:p>
    <w:p>
      <w:pPr>
        <w:spacing w:before="120" w:after="40"/>
        <w:jc w:val="center"/>
      </w:pPr>
      <w:r>
        <w:drawing>
          <wp:inline xmlns:a="http://schemas.openxmlformats.org/drawingml/2006/main" xmlns:pic="http://schemas.openxmlformats.org/drawingml/2006/picture">
            <wp:extent cx="2971800" cy="198120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2971800" cy="1981200"/>
                    </a:xfrm>
                    <a:prstGeom prst="rect"/>
                  </pic:spPr>
                </pic:pic>
              </a:graphicData>
            </a:graphic>
          </wp:inline>
        </w:drawing>
      </w:r>
    </w:p>
    <w:p>
      <w:pPr>
        <w:spacing w:after="160"/>
        <w:jc w:val="center"/>
      </w:pPr>
      <w:r>
        <w:rPr>
          <w:rFonts w:ascii="Times New Roman" w:hAnsi="Times New Roman"/>
          <w:b w:val="0"/>
          <w:i w:val="0"/>
          <w:sz w:val="17"/>
        </w:rPr>
        <w:t>FIGURE 2. Benchmark dataset class distribution (17,535 samples).</w:t>
      </w:r>
    </w:p>
    <w:p>
      <w:pPr>
        <w:spacing w:before="120" w:after="60"/>
        <w:jc w:val="center"/>
      </w:pPr>
      <w:r>
        <w:rPr>
          <w:rFonts w:ascii="Times New Roman" w:hAnsi="Times New Roman"/>
          <w:b/>
          <w:i w:val="0"/>
          <w:sz w:val="18"/>
        </w:rPr>
        <w:t>TABLE I. HOLDOUT TEST SET PERFORMANCE (3,507 SAMPLES)</w:t>
      </w:r>
    </w:p>
    <w:tbl>
      <w:tblPr>
        <w:tblW w:type="auto" w:w="0"/>
        <w:jc w:val="center"/>
        <w:tblLayout w:type="fixed"/>
        <w:tblLook w:firstColumn="1" w:firstRow="1" w:lastColumn="0" w:lastRow="0" w:noHBand="0" w:noVBand="1" w:val="04A0"/>
      </w:tblPr>
      <w:tblGrid>
        <w:gridCol w:w="2052"/>
        <w:gridCol w:w="2052"/>
        <w:gridCol w:w="2052"/>
        <w:gridCol w:w="2052"/>
        <w:gridCol w:w="2052"/>
      </w:tblGrid>
      <w:tr>
        <w:tc>
          <w:tcPr>
            <w:tcW w:type="dxa" w:w="2052"/>
          </w:tcPr>
          <w:p>
            <w:pPr>
              <w:spacing w:after="40" w:before="40"/>
              <w:jc w:val="center"/>
            </w:pPr>
            <w:r>
              <w:rPr>
                <w:rFonts w:ascii="Times New Roman" w:hAnsi="Times New Roman"/>
                <w:b/>
                <w:i w:val="0"/>
                <w:sz w:val="17"/>
              </w:rPr>
              <w:t>Model Architecture</w:t>
            </w:r>
          </w:p>
        </w:tc>
        <w:tc>
          <w:tcPr>
            <w:tcW w:type="dxa" w:w="2052"/>
          </w:tcPr>
          <w:p>
            <w:pPr>
              <w:spacing w:after="40" w:before="40"/>
              <w:jc w:val="center"/>
            </w:pPr>
            <w:r>
              <w:rPr>
                <w:rFonts w:ascii="Times New Roman" w:hAnsi="Times New Roman"/>
                <w:b/>
                <w:i w:val="0"/>
                <w:sz w:val="17"/>
              </w:rPr>
              <w:t>Acc.</w:t>
            </w:r>
          </w:p>
        </w:tc>
        <w:tc>
          <w:tcPr>
            <w:tcW w:type="dxa" w:w="2052"/>
          </w:tcPr>
          <w:p>
            <w:pPr>
              <w:spacing w:after="40" w:before="40"/>
              <w:jc w:val="center"/>
            </w:pPr>
            <w:r>
              <w:rPr>
                <w:rFonts w:ascii="Times New Roman" w:hAnsi="Times New Roman"/>
                <w:b/>
                <w:i w:val="0"/>
                <w:sz w:val="17"/>
              </w:rPr>
              <w:t>Prec.</w:t>
            </w:r>
          </w:p>
        </w:tc>
        <w:tc>
          <w:tcPr>
            <w:tcW w:type="dxa" w:w="2052"/>
          </w:tcPr>
          <w:p>
            <w:pPr>
              <w:spacing w:after="40" w:before="40"/>
              <w:jc w:val="center"/>
            </w:pPr>
            <w:r>
              <w:rPr>
                <w:rFonts w:ascii="Times New Roman" w:hAnsi="Times New Roman"/>
                <w:b/>
                <w:i w:val="0"/>
                <w:sz w:val="17"/>
              </w:rPr>
              <w:t>Rec.</w:t>
            </w:r>
          </w:p>
        </w:tc>
        <w:tc>
          <w:tcPr>
            <w:tcW w:type="dxa" w:w="2052"/>
          </w:tcPr>
          <w:p>
            <w:pPr>
              <w:spacing w:after="40" w:before="40"/>
              <w:jc w:val="center"/>
            </w:pPr>
            <w:r>
              <w:rPr>
                <w:rFonts w:ascii="Times New Roman" w:hAnsi="Times New Roman"/>
                <w:b/>
                <w:i w:val="0"/>
                <w:sz w:val="17"/>
              </w:rPr>
              <w:t>F1</w:t>
            </w:r>
          </w:p>
        </w:tc>
      </w:tr>
      <w:tr>
        <w:tc>
          <w:tcPr>
            <w:tcW w:type="dxa" w:w="2052"/>
          </w:tcPr>
          <w:p>
            <w:pPr>
              <w:spacing w:after="40" w:before="40"/>
              <w:jc w:val="center"/>
            </w:pPr>
            <w:r>
              <w:rPr>
                <w:rFonts w:ascii="Times New Roman" w:hAnsi="Times New Roman"/>
                <w:b w:val="0"/>
                <w:i w:val="0"/>
                <w:sz w:val="17"/>
              </w:rPr>
              <w:t>Naive Bayes</w:t>
            </w:r>
          </w:p>
        </w:tc>
        <w:tc>
          <w:tcPr>
            <w:tcW w:type="dxa" w:w="2052"/>
          </w:tcPr>
          <w:p>
            <w:pPr>
              <w:spacing w:after="40" w:before="40"/>
              <w:jc w:val="center"/>
            </w:pPr>
            <w:r>
              <w:rPr>
                <w:rFonts w:ascii="Times New Roman" w:hAnsi="Times New Roman"/>
                <w:b w:val="0"/>
                <w:i w:val="0"/>
                <w:sz w:val="17"/>
              </w:rPr>
              <w:t>97.15%</w:t>
            </w:r>
          </w:p>
        </w:tc>
        <w:tc>
          <w:tcPr>
            <w:tcW w:type="dxa" w:w="2052"/>
          </w:tcPr>
          <w:p>
            <w:pPr>
              <w:spacing w:after="40" w:before="40"/>
              <w:jc w:val="center"/>
            </w:pPr>
            <w:r>
              <w:rPr>
                <w:rFonts w:ascii="Times New Roman" w:hAnsi="Times New Roman"/>
                <w:b w:val="0"/>
                <w:i w:val="0"/>
                <w:sz w:val="17"/>
              </w:rPr>
              <w:t>96.54%</w:t>
            </w:r>
          </w:p>
        </w:tc>
        <w:tc>
          <w:tcPr>
            <w:tcW w:type="dxa" w:w="2052"/>
          </w:tcPr>
          <w:p>
            <w:pPr>
              <w:spacing w:after="40" w:before="40"/>
              <w:jc w:val="center"/>
            </w:pPr>
            <w:r>
              <w:rPr>
                <w:rFonts w:ascii="Times New Roman" w:hAnsi="Times New Roman"/>
                <w:b w:val="0"/>
                <w:i w:val="0"/>
                <w:sz w:val="17"/>
              </w:rPr>
              <w:t>95.80%</w:t>
            </w:r>
          </w:p>
        </w:tc>
        <w:tc>
          <w:tcPr>
            <w:tcW w:type="dxa" w:w="2052"/>
          </w:tcPr>
          <w:p>
            <w:pPr>
              <w:spacing w:after="40" w:before="40"/>
              <w:jc w:val="center"/>
            </w:pPr>
            <w:r>
              <w:rPr>
                <w:rFonts w:ascii="Times New Roman" w:hAnsi="Times New Roman"/>
                <w:b w:val="0"/>
                <w:i w:val="0"/>
                <w:sz w:val="17"/>
              </w:rPr>
              <w:t>96.17%</w:t>
            </w:r>
          </w:p>
        </w:tc>
      </w:tr>
      <w:tr>
        <w:tc>
          <w:tcPr>
            <w:tcW w:type="dxa" w:w="2052"/>
          </w:tcPr>
          <w:p>
            <w:pPr>
              <w:spacing w:after="40" w:before="40"/>
              <w:jc w:val="center"/>
            </w:pPr>
            <w:r>
              <w:rPr>
                <w:rFonts w:ascii="Times New Roman" w:hAnsi="Times New Roman"/>
                <w:b w:val="0"/>
                <w:i w:val="0"/>
                <w:sz w:val="17"/>
              </w:rPr>
              <w:t>Random Forest</w:t>
            </w:r>
          </w:p>
        </w:tc>
        <w:tc>
          <w:tcPr>
            <w:tcW w:type="dxa" w:w="2052"/>
          </w:tcPr>
          <w:p>
            <w:pPr>
              <w:spacing w:after="40" w:before="40"/>
              <w:jc w:val="center"/>
            </w:pPr>
            <w:r>
              <w:rPr>
                <w:rFonts w:ascii="Times New Roman" w:hAnsi="Times New Roman"/>
                <w:b w:val="0"/>
                <w:i w:val="0"/>
                <w:sz w:val="17"/>
              </w:rPr>
              <w:t>98.00%</w:t>
            </w:r>
          </w:p>
        </w:tc>
        <w:tc>
          <w:tcPr>
            <w:tcW w:type="dxa" w:w="2052"/>
          </w:tcPr>
          <w:p>
            <w:pPr>
              <w:spacing w:after="40" w:before="40"/>
              <w:jc w:val="center"/>
            </w:pPr>
            <w:r>
              <w:rPr>
                <w:rFonts w:ascii="Times New Roman" w:hAnsi="Times New Roman"/>
                <w:b w:val="0"/>
                <w:i w:val="0"/>
                <w:sz w:val="17"/>
              </w:rPr>
              <w:t>97.04%</w:t>
            </w:r>
          </w:p>
        </w:tc>
        <w:tc>
          <w:tcPr>
            <w:tcW w:type="dxa" w:w="2052"/>
          </w:tcPr>
          <w:p>
            <w:pPr>
              <w:spacing w:after="40" w:before="40"/>
              <w:jc w:val="center"/>
            </w:pPr>
            <w:r>
              <w:rPr>
                <w:rFonts w:ascii="Times New Roman" w:hAnsi="Times New Roman"/>
                <w:b w:val="0"/>
                <w:i w:val="0"/>
                <w:sz w:val="17"/>
              </w:rPr>
              <w:t>97.64%</w:t>
            </w:r>
          </w:p>
        </w:tc>
        <w:tc>
          <w:tcPr>
            <w:tcW w:type="dxa" w:w="2052"/>
          </w:tcPr>
          <w:p>
            <w:pPr>
              <w:spacing w:after="40" w:before="40"/>
              <w:jc w:val="center"/>
            </w:pPr>
            <w:r>
              <w:rPr>
                <w:rFonts w:ascii="Times New Roman" w:hAnsi="Times New Roman"/>
                <w:b w:val="0"/>
                <w:i w:val="0"/>
                <w:sz w:val="17"/>
              </w:rPr>
              <w:t>97.34%</w:t>
            </w:r>
          </w:p>
        </w:tc>
      </w:tr>
      <w:tr>
        <w:tc>
          <w:tcPr>
            <w:tcW w:type="dxa" w:w="2052"/>
          </w:tcPr>
          <w:p>
            <w:pPr>
              <w:spacing w:after="40" w:before="40"/>
              <w:jc w:val="center"/>
            </w:pPr>
            <w:r>
              <w:rPr>
                <w:rFonts w:ascii="Times New Roman" w:hAnsi="Times New Roman"/>
                <w:b w:val="0"/>
                <w:i w:val="0"/>
                <w:sz w:val="17"/>
              </w:rPr>
              <w:t>Logistic Reg.</w:t>
            </w:r>
          </w:p>
        </w:tc>
        <w:tc>
          <w:tcPr>
            <w:tcW w:type="dxa" w:w="2052"/>
          </w:tcPr>
          <w:p>
            <w:pPr>
              <w:spacing w:after="40" w:before="40"/>
              <w:jc w:val="center"/>
            </w:pPr>
            <w:r>
              <w:rPr>
                <w:rFonts w:ascii="Times New Roman" w:hAnsi="Times New Roman"/>
                <w:b w:val="0"/>
                <w:i w:val="0"/>
                <w:sz w:val="17"/>
              </w:rPr>
              <w:t>98.26%</w:t>
            </w:r>
          </w:p>
        </w:tc>
        <w:tc>
          <w:tcPr>
            <w:tcW w:type="dxa" w:w="2052"/>
          </w:tcPr>
          <w:p>
            <w:pPr>
              <w:spacing w:after="40" w:before="40"/>
              <w:jc w:val="center"/>
            </w:pPr>
            <w:r>
              <w:rPr>
                <w:rFonts w:ascii="Times New Roman" w:hAnsi="Times New Roman"/>
                <w:b w:val="0"/>
                <w:i w:val="0"/>
                <w:sz w:val="17"/>
              </w:rPr>
              <w:t>97.28%</w:t>
            </w:r>
          </w:p>
        </w:tc>
        <w:tc>
          <w:tcPr>
            <w:tcW w:type="dxa" w:w="2052"/>
          </w:tcPr>
          <w:p>
            <w:pPr>
              <w:spacing w:after="40" w:before="40"/>
              <w:jc w:val="center"/>
            </w:pPr>
            <w:r>
              <w:rPr>
                <w:rFonts w:ascii="Times New Roman" w:hAnsi="Times New Roman"/>
                <w:b w:val="0"/>
                <w:i w:val="0"/>
                <w:sz w:val="17"/>
              </w:rPr>
              <w:t>98.09%</w:t>
            </w:r>
          </w:p>
        </w:tc>
        <w:tc>
          <w:tcPr>
            <w:tcW w:type="dxa" w:w="2052"/>
          </w:tcPr>
          <w:p>
            <w:pPr>
              <w:spacing w:after="40" w:before="40"/>
              <w:jc w:val="center"/>
            </w:pPr>
            <w:r>
              <w:rPr>
                <w:rFonts w:ascii="Times New Roman" w:hAnsi="Times New Roman"/>
                <w:b w:val="0"/>
                <w:i w:val="0"/>
                <w:sz w:val="17"/>
              </w:rPr>
              <w:t>97.68%</w:t>
            </w:r>
          </w:p>
        </w:tc>
      </w:tr>
      <w:tr>
        <w:tc>
          <w:tcPr>
            <w:tcW w:type="dxa" w:w="2052"/>
          </w:tcPr>
          <w:p>
            <w:pPr>
              <w:spacing w:after="40" w:before="40"/>
              <w:jc w:val="center"/>
            </w:pPr>
            <w:r>
              <w:rPr>
                <w:rFonts w:ascii="Times New Roman" w:hAnsi="Times New Roman"/>
                <w:b w:val="0"/>
                <w:i w:val="0"/>
                <w:sz w:val="17"/>
              </w:rPr>
              <w:t>MLP Neural Net</w:t>
            </w:r>
          </w:p>
        </w:tc>
        <w:tc>
          <w:tcPr>
            <w:tcW w:type="dxa" w:w="2052"/>
          </w:tcPr>
          <w:p>
            <w:pPr>
              <w:spacing w:after="40" w:before="40"/>
              <w:jc w:val="center"/>
            </w:pPr>
            <w:r>
              <w:rPr>
                <w:rFonts w:ascii="Times New Roman" w:hAnsi="Times New Roman"/>
                <w:b w:val="0"/>
                <w:i w:val="0"/>
                <w:sz w:val="17"/>
              </w:rPr>
              <w:t>98.29%</w:t>
            </w:r>
          </w:p>
        </w:tc>
        <w:tc>
          <w:tcPr>
            <w:tcW w:type="dxa" w:w="2052"/>
          </w:tcPr>
          <w:p>
            <w:pPr>
              <w:spacing w:after="40" w:before="40"/>
              <w:jc w:val="center"/>
            </w:pPr>
            <w:r>
              <w:rPr>
                <w:rFonts w:ascii="Times New Roman" w:hAnsi="Times New Roman"/>
                <w:b w:val="0"/>
                <w:i w:val="0"/>
                <w:sz w:val="17"/>
              </w:rPr>
              <w:t>98.30%</w:t>
            </w:r>
          </w:p>
        </w:tc>
        <w:tc>
          <w:tcPr>
            <w:tcW w:type="dxa" w:w="2052"/>
          </w:tcPr>
          <w:p>
            <w:pPr>
              <w:spacing w:after="40" w:before="40"/>
              <w:jc w:val="center"/>
            </w:pPr>
            <w:r>
              <w:rPr>
                <w:rFonts w:ascii="Times New Roman" w:hAnsi="Times New Roman"/>
                <w:b w:val="0"/>
                <w:i w:val="0"/>
                <w:sz w:val="17"/>
              </w:rPr>
              <w:t>97.10%</w:t>
            </w:r>
          </w:p>
        </w:tc>
        <w:tc>
          <w:tcPr>
            <w:tcW w:type="dxa" w:w="2052"/>
          </w:tcPr>
          <w:p>
            <w:pPr>
              <w:spacing w:after="40" w:before="40"/>
              <w:jc w:val="center"/>
            </w:pPr>
            <w:r>
              <w:rPr>
                <w:rFonts w:ascii="Times New Roman" w:hAnsi="Times New Roman"/>
                <w:b w:val="0"/>
                <w:i w:val="0"/>
                <w:sz w:val="17"/>
              </w:rPr>
              <w:t>97.70%</w:t>
            </w:r>
          </w:p>
        </w:tc>
      </w:tr>
      <w:tr>
        <w:tc>
          <w:tcPr>
            <w:tcW w:type="dxa" w:w="2052"/>
          </w:tcPr>
          <w:p>
            <w:pPr>
              <w:spacing w:after="40" w:before="40"/>
              <w:jc w:val="center"/>
            </w:pPr>
            <w:r>
              <w:rPr>
                <w:rFonts w:ascii="Times New Roman" w:hAnsi="Times New Roman"/>
                <w:b/>
                <w:i w:val="0"/>
                <w:sz w:val="17"/>
              </w:rPr>
              <w:t>Soft-Voting Ens.</w:t>
            </w:r>
          </w:p>
        </w:tc>
        <w:tc>
          <w:tcPr>
            <w:tcW w:type="dxa" w:w="2052"/>
          </w:tcPr>
          <w:p>
            <w:pPr>
              <w:spacing w:after="40" w:before="40"/>
              <w:jc w:val="center"/>
            </w:pPr>
            <w:r>
              <w:rPr>
                <w:rFonts w:ascii="Times New Roman" w:hAnsi="Times New Roman"/>
                <w:b/>
                <w:i w:val="0"/>
                <w:sz w:val="17"/>
              </w:rPr>
              <w:t>98.52%</w:t>
            </w:r>
          </w:p>
        </w:tc>
        <w:tc>
          <w:tcPr>
            <w:tcW w:type="dxa" w:w="2052"/>
          </w:tcPr>
          <w:p>
            <w:pPr>
              <w:spacing w:after="40" w:before="40"/>
              <w:jc w:val="center"/>
            </w:pPr>
            <w:r>
              <w:rPr>
                <w:rFonts w:ascii="Times New Roman" w:hAnsi="Times New Roman"/>
                <w:b/>
                <w:i w:val="0"/>
                <w:sz w:val="17"/>
              </w:rPr>
              <w:t>98.09%</w:t>
            </w:r>
          </w:p>
        </w:tc>
        <w:tc>
          <w:tcPr>
            <w:tcW w:type="dxa" w:w="2052"/>
          </w:tcPr>
          <w:p>
            <w:pPr>
              <w:spacing w:after="40" w:before="40"/>
              <w:jc w:val="center"/>
            </w:pPr>
            <w:r>
              <w:rPr>
                <w:rFonts w:ascii="Times New Roman" w:hAnsi="Times New Roman"/>
                <w:b/>
                <w:i w:val="0"/>
                <w:sz w:val="17"/>
              </w:rPr>
              <w:t>97.94%</w:t>
            </w:r>
          </w:p>
        </w:tc>
        <w:tc>
          <w:tcPr>
            <w:tcW w:type="dxa" w:w="2052"/>
          </w:tcPr>
          <w:p>
            <w:pPr>
              <w:spacing w:after="40" w:before="40"/>
              <w:jc w:val="center"/>
            </w:pPr>
            <w:r>
              <w:rPr>
                <w:rFonts w:ascii="Times New Roman" w:hAnsi="Times New Roman"/>
                <w:b/>
                <w:i w:val="0"/>
                <w:sz w:val="17"/>
              </w:rPr>
              <w:t>98.02%</w:t>
            </w:r>
          </w:p>
        </w:tc>
      </w:tr>
    </w:tbl>
    <w:p>
      <w:pPr>
        <w:spacing w:before="120" w:after="40"/>
        <w:jc w:val="center"/>
      </w:pPr>
      <w:r>
        <w:drawing>
          <wp:inline xmlns:a="http://schemas.openxmlformats.org/drawingml/2006/main" xmlns:pic="http://schemas.openxmlformats.org/drawingml/2006/picture">
            <wp:extent cx="2971800" cy="2476500"/>
            <wp:docPr id="3" name="Picture 3"/>
            <wp:cNvGraphicFramePr>
              <a:graphicFrameLocks noChangeAspect="1"/>
            </wp:cNvGraphicFramePr>
            <a:graphic>
              <a:graphicData uri="http://schemas.openxmlformats.org/drawingml/2006/picture">
                <pic:pic>
                  <pic:nvPicPr>
                    <pic:cNvPr id="0" name="confusion_matrix_VotingEnsemble.png"/>
                    <pic:cNvPicPr/>
                  </pic:nvPicPr>
                  <pic:blipFill>
                    <a:blip r:embed="rId11"/>
                    <a:stretch>
                      <a:fillRect/>
                    </a:stretch>
                  </pic:blipFill>
                  <pic:spPr>
                    <a:xfrm>
                      <a:off x="0" y="0"/>
                      <a:ext cx="2971800" cy="2476500"/>
                    </a:xfrm>
                    <a:prstGeom prst="rect"/>
                  </pic:spPr>
                </pic:pic>
              </a:graphicData>
            </a:graphic>
          </wp:inline>
        </w:drawing>
      </w:r>
    </w:p>
    <w:p>
      <w:pPr>
        <w:spacing w:after="160"/>
        <w:jc w:val="center"/>
      </w:pPr>
      <w:r>
        <w:rPr>
          <w:rFonts w:ascii="Times New Roman" w:hAnsi="Times New Roman"/>
          <w:b w:val="0"/>
          <w:i w:val="0"/>
          <w:sz w:val="17"/>
        </w:rPr>
        <w:t>FIGURE 3. Confusion matrix for Soft-Voting Ensemble.</w:t>
      </w:r>
    </w:p>
    <w:p>
      <w:pPr>
        <w:spacing w:before="120" w:after="40"/>
        <w:jc w:val="center"/>
      </w:pPr>
      <w:r>
        <w:drawing>
          <wp:inline xmlns:a="http://schemas.openxmlformats.org/drawingml/2006/main" xmlns:pic="http://schemas.openxmlformats.org/drawingml/2006/picture">
            <wp:extent cx="2971800" cy="2476500"/>
            <wp:docPr id="4" name="Picture 4"/>
            <wp:cNvGraphicFramePr>
              <a:graphicFrameLocks noChangeAspect="1"/>
            </wp:cNvGraphicFramePr>
            <a:graphic>
              <a:graphicData uri="http://schemas.openxmlformats.org/drawingml/2006/picture">
                <pic:pic>
                  <pic:nvPicPr>
                    <pic:cNvPr id="0" name="confusion_matrix_RandomForest.png"/>
                    <pic:cNvPicPr/>
                  </pic:nvPicPr>
                  <pic:blipFill>
                    <a:blip r:embed="rId12"/>
                    <a:stretch>
                      <a:fillRect/>
                    </a:stretch>
                  </pic:blipFill>
                  <pic:spPr>
                    <a:xfrm>
                      <a:off x="0" y="0"/>
                      <a:ext cx="2971800" cy="2476500"/>
                    </a:xfrm>
                    <a:prstGeom prst="rect"/>
                  </pic:spPr>
                </pic:pic>
              </a:graphicData>
            </a:graphic>
          </wp:inline>
        </w:drawing>
      </w:r>
    </w:p>
    <w:p>
      <w:pPr>
        <w:spacing w:after="160"/>
        <w:jc w:val="center"/>
      </w:pPr>
      <w:r>
        <w:rPr>
          <w:rFonts w:ascii="Times New Roman" w:hAnsi="Times New Roman"/>
          <w:b w:val="0"/>
          <w:i w:val="0"/>
          <w:sz w:val="17"/>
        </w:rPr>
        <w:t>FIGURE 4. Confusion matrix for Random Forest classifier.</w:t>
      </w:r>
    </w:p>
    <w:p>
      <w:pPr>
        <w:spacing w:before="120" w:after="40"/>
        <w:jc w:val="center"/>
      </w:pPr>
      <w:r>
        <w:drawing>
          <wp:inline xmlns:a="http://schemas.openxmlformats.org/drawingml/2006/main" xmlns:pic="http://schemas.openxmlformats.org/drawingml/2006/picture">
            <wp:extent cx="2971800" cy="2476500"/>
            <wp:docPr id="5" name="Picture 5"/>
            <wp:cNvGraphicFramePr>
              <a:graphicFrameLocks noChangeAspect="1"/>
            </wp:cNvGraphicFramePr>
            <a:graphic>
              <a:graphicData uri="http://schemas.openxmlformats.org/drawingml/2006/picture">
                <pic:pic>
                  <pic:nvPicPr>
                    <pic:cNvPr id="0" name="confusion_matrix_LogisticRegression.png"/>
                    <pic:cNvPicPr/>
                  </pic:nvPicPr>
                  <pic:blipFill>
                    <a:blip r:embed="rId13"/>
                    <a:stretch>
                      <a:fillRect/>
                    </a:stretch>
                  </pic:blipFill>
                  <pic:spPr>
                    <a:xfrm>
                      <a:off x="0" y="0"/>
                      <a:ext cx="2971800" cy="2476500"/>
                    </a:xfrm>
                    <a:prstGeom prst="rect"/>
                  </pic:spPr>
                </pic:pic>
              </a:graphicData>
            </a:graphic>
          </wp:inline>
        </w:drawing>
      </w:r>
    </w:p>
    <w:p>
      <w:pPr>
        <w:spacing w:after="160"/>
        <w:jc w:val="center"/>
      </w:pPr>
      <w:r>
        <w:rPr>
          <w:rFonts w:ascii="Times New Roman" w:hAnsi="Times New Roman"/>
          <w:b w:val="0"/>
          <w:i w:val="0"/>
          <w:sz w:val="17"/>
        </w:rPr>
        <w:t>FIGURE 5. Confusion matrix for Logistic Regression model.</w:t>
      </w:r>
    </w:p>
    <w:p>
      <w:pPr>
        <w:spacing w:before="120" w:after="40"/>
        <w:jc w:val="center"/>
      </w:pPr>
      <w:r>
        <w:drawing>
          <wp:inline xmlns:a="http://schemas.openxmlformats.org/drawingml/2006/main" xmlns:pic="http://schemas.openxmlformats.org/drawingml/2006/picture">
            <wp:extent cx="2971800" cy="2476500"/>
            <wp:docPr id="6" name="Picture 6"/>
            <wp:cNvGraphicFramePr>
              <a:graphicFrameLocks noChangeAspect="1"/>
            </wp:cNvGraphicFramePr>
            <a:graphic>
              <a:graphicData uri="http://schemas.openxmlformats.org/drawingml/2006/picture">
                <pic:pic>
                  <pic:nvPicPr>
                    <pic:cNvPr id="0" name="confusion_matrix_NeuralNetwork.png"/>
                    <pic:cNvPicPr/>
                  </pic:nvPicPr>
                  <pic:blipFill>
                    <a:blip r:embed="rId14"/>
                    <a:stretch>
                      <a:fillRect/>
                    </a:stretch>
                  </pic:blipFill>
                  <pic:spPr>
                    <a:xfrm>
                      <a:off x="0" y="0"/>
                      <a:ext cx="2971800" cy="2476500"/>
                    </a:xfrm>
                    <a:prstGeom prst="rect"/>
                  </pic:spPr>
                </pic:pic>
              </a:graphicData>
            </a:graphic>
          </wp:inline>
        </w:drawing>
      </w:r>
    </w:p>
    <w:p>
      <w:pPr>
        <w:spacing w:after="160"/>
        <w:jc w:val="center"/>
      </w:pPr>
      <w:r>
        <w:rPr>
          <w:rFonts w:ascii="Times New Roman" w:hAnsi="Times New Roman"/>
          <w:b w:val="0"/>
          <w:i w:val="0"/>
          <w:sz w:val="17"/>
        </w:rPr>
        <w:t>FIGURE 6. Confusion matrix for MLP Neural Network.</w:t>
      </w:r>
    </w:p>
    <w:p>
      <w:pPr>
        <w:spacing w:before="120" w:after="40"/>
        <w:jc w:val="center"/>
      </w:pPr>
      <w:r>
        <w:drawing>
          <wp:inline xmlns:a="http://schemas.openxmlformats.org/drawingml/2006/main" xmlns:pic="http://schemas.openxmlformats.org/drawingml/2006/picture">
            <wp:extent cx="2971800" cy="2476500"/>
            <wp:docPr id="7" name="Picture 7"/>
            <wp:cNvGraphicFramePr>
              <a:graphicFrameLocks noChangeAspect="1"/>
            </wp:cNvGraphicFramePr>
            <a:graphic>
              <a:graphicData uri="http://schemas.openxmlformats.org/drawingml/2006/picture">
                <pic:pic>
                  <pic:nvPicPr>
                    <pic:cNvPr id="0" name="confusion_matrix_NaiveBayes.png"/>
                    <pic:cNvPicPr/>
                  </pic:nvPicPr>
                  <pic:blipFill>
                    <a:blip r:embed="rId15"/>
                    <a:stretch>
                      <a:fillRect/>
                    </a:stretch>
                  </pic:blipFill>
                  <pic:spPr>
                    <a:xfrm>
                      <a:off x="0" y="0"/>
                      <a:ext cx="2971800" cy="2476500"/>
                    </a:xfrm>
                    <a:prstGeom prst="rect"/>
                  </pic:spPr>
                </pic:pic>
              </a:graphicData>
            </a:graphic>
          </wp:inline>
        </w:drawing>
      </w:r>
    </w:p>
    <w:p>
      <w:pPr>
        <w:spacing w:after="160"/>
        <w:jc w:val="center"/>
      </w:pPr>
      <w:r>
        <w:rPr>
          <w:rFonts w:ascii="Times New Roman" w:hAnsi="Times New Roman"/>
          <w:b w:val="0"/>
          <w:i w:val="0"/>
          <w:sz w:val="17"/>
        </w:rPr>
        <w:t>FIGURE 7. Confusion matrix for Multinomial Naive Bayes.</w:t>
      </w:r>
    </w:p>
    <w:p>
      <w:pPr>
        <w:spacing w:before="120" w:after="40"/>
        <w:jc w:val="center"/>
      </w:pPr>
      <w:r>
        <w:drawing>
          <wp:inline xmlns:a="http://schemas.openxmlformats.org/drawingml/2006/main" xmlns:pic="http://schemas.openxmlformats.org/drawingml/2006/picture">
            <wp:extent cx="2971800" cy="2228850"/>
            <wp:docPr id="8" name="Picture 8"/>
            <wp:cNvGraphicFramePr>
              <a:graphicFrameLocks noChangeAspect="1"/>
            </wp:cNvGraphicFramePr>
            <a:graphic>
              <a:graphicData uri="http://schemas.openxmlformats.org/drawingml/2006/picture">
                <pic:pic>
                  <pic:nvPicPr>
                    <pic:cNvPr id="0" name="roc_curve_comparison.png"/>
                    <pic:cNvPicPr/>
                  </pic:nvPicPr>
                  <pic:blipFill>
                    <a:blip r:embed="rId16"/>
                    <a:stretch>
                      <a:fillRect/>
                    </a:stretch>
                  </pic:blipFill>
                  <pic:spPr>
                    <a:xfrm>
                      <a:off x="0" y="0"/>
                      <a:ext cx="2971800" cy="2228850"/>
                    </a:xfrm>
                    <a:prstGeom prst="rect"/>
                  </pic:spPr>
                </pic:pic>
              </a:graphicData>
            </a:graphic>
          </wp:inline>
        </w:drawing>
      </w:r>
    </w:p>
    <w:p>
      <w:pPr>
        <w:spacing w:after="160"/>
        <w:jc w:val="center"/>
      </w:pPr>
      <w:r>
        <w:rPr>
          <w:rFonts w:ascii="Times New Roman" w:hAnsi="Times New Roman"/>
          <w:b w:val="0"/>
          <w:i w:val="0"/>
          <w:sz w:val="17"/>
        </w:rPr>
        <w:t>FIGURE 8. Comparative ROC curves (Ensemble AUC = 0.998).</w:t>
      </w:r>
    </w:p>
    <w:p>
      <w:pPr>
        <w:spacing w:before="120" w:after="40"/>
        <w:jc w:val="center"/>
      </w:pPr>
      <w:r>
        <w:drawing>
          <wp:inline xmlns:a="http://schemas.openxmlformats.org/drawingml/2006/main" xmlns:pic="http://schemas.openxmlformats.org/drawingml/2006/picture">
            <wp:extent cx="2971800" cy="1783080"/>
            <wp:docPr id="9" name="Picture 9"/>
            <wp:cNvGraphicFramePr>
              <a:graphicFrameLocks noChangeAspect="1"/>
            </wp:cNvGraphicFramePr>
            <a:graphic>
              <a:graphicData uri="http://schemas.openxmlformats.org/drawingml/2006/picture">
                <pic:pic>
                  <pic:nvPicPr>
                    <pic:cNvPr id="0" name="feature_importance_RandomForest.png"/>
                    <pic:cNvPicPr/>
                  </pic:nvPicPr>
                  <pic:blipFill>
                    <a:blip r:embed="rId17"/>
                    <a:stretch>
                      <a:fillRect/>
                    </a:stretch>
                  </pic:blipFill>
                  <pic:spPr>
                    <a:xfrm>
                      <a:off x="0" y="0"/>
                      <a:ext cx="2971800" cy="1783080"/>
                    </a:xfrm>
                    <a:prstGeom prst="rect"/>
                  </pic:spPr>
                </pic:pic>
              </a:graphicData>
            </a:graphic>
          </wp:inline>
        </w:drawing>
      </w:r>
    </w:p>
    <w:p>
      <w:pPr>
        <w:spacing w:after="160"/>
        <w:jc w:val="center"/>
      </w:pPr>
      <w:r>
        <w:rPr>
          <w:rFonts w:ascii="Times New Roman" w:hAnsi="Times New Roman"/>
          <w:b w:val="0"/>
          <w:i w:val="0"/>
          <w:sz w:val="17"/>
        </w:rPr>
        <w:t>FIGURE 9. Random Forest top feature importance drivers.</w:t>
      </w:r>
    </w:p>
    <w:p>
      <w:pPr>
        <w:spacing w:before="120" w:after="40"/>
        <w:jc w:val="center"/>
      </w:pPr>
      <w:r>
        <w:drawing>
          <wp:inline xmlns:a="http://schemas.openxmlformats.org/drawingml/2006/main" xmlns:pic="http://schemas.openxmlformats.org/drawingml/2006/picture">
            <wp:extent cx="2971800" cy="1783080"/>
            <wp:docPr id="10" name="Picture 10"/>
            <wp:cNvGraphicFramePr>
              <a:graphicFrameLocks noChangeAspect="1"/>
            </wp:cNvGraphicFramePr>
            <a:graphic>
              <a:graphicData uri="http://schemas.openxmlformats.org/drawingml/2006/picture">
                <pic:pic>
                  <pic:nvPicPr>
                    <pic:cNvPr id="0" name="feature_importance_LogisticRegression.png"/>
                    <pic:cNvPicPr/>
                  </pic:nvPicPr>
                  <pic:blipFill>
                    <a:blip r:embed="rId18"/>
                    <a:stretch>
                      <a:fillRect/>
                    </a:stretch>
                  </pic:blipFill>
                  <pic:spPr>
                    <a:xfrm>
                      <a:off x="0" y="0"/>
                      <a:ext cx="2971800" cy="1783080"/>
                    </a:xfrm>
                    <a:prstGeom prst="rect"/>
                  </pic:spPr>
                </pic:pic>
              </a:graphicData>
            </a:graphic>
          </wp:inline>
        </w:drawing>
      </w:r>
    </w:p>
    <w:p>
      <w:pPr>
        <w:spacing w:after="160"/>
        <w:jc w:val="center"/>
      </w:pPr>
      <w:r>
        <w:rPr>
          <w:rFonts w:ascii="Times New Roman" w:hAnsi="Times New Roman"/>
          <w:b w:val="0"/>
          <w:i w:val="0"/>
          <w:sz w:val="17"/>
        </w:rPr>
        <w:t>FIGURE 10. Logistic Regression top feature coefficients.</w:t>
      </w:r>
    </w:p>
    <w:p>
      <w:pPr>
        <w:keepNext/>
        <w:spacing w:before="280" w:after="120"/>
        <w:jc w:val="center"/>
      </w:pPr>
      <w:r>
        <w:rPr>
          <w:rFonts w:ascii="Times New Roman" w:hAnsi="Times New Roman"/>
          <w:b/>
          <w:i w:val="0"/>
          <w:sz w:val="20"/>
        </w:rPr>
        <w:t>GATEWAY THROUGHPUT &amp; OPERATIONAL DISCUSSION</w:t>
      </w:r>
    </w:p>
    <w:p>
      <w:pPr>
        <w:spacing w:after="80" w:line="240" w:lineRule="auto"/>
        <w:ind w:firstLine="245"/>
        <w:jc w:val="both"/>
      </w:pPr>
      <w:r>
        <w:rPr>
          <w:rFonts w:ascii="Times New Roman" w:hAnsi="Times New Roman"/>
          <w:b w:val="0"/>
          <w:i w:val="0"/>
          <w:sz w:val="20"/>
        </w:rPr>
        <w:t>Inference latency benchmarking shows sub-millisecond execution: Multinomial Naive Bayes (0.12 ms), Logistic Regression (0.28 ms), MLP (0.85 ms), and Soft-Voting Ensemble (2.10 ms per message), confirming high-throughput CPU gateway readiness.</w:t>
      </w:r>
    </w:p>
    <w:p>
      <w:pPr>
        <w:spacing w:before="120" w:after="40"/>
        <w:jc w:val="center"/>
      </w:pPr>
      <w:r>
        <w:drawing>
          <wp:inline xmlns:a="http://schemas.openxmlformats.org/drawingml/2006/main" xmlns:pic="http://schemas.openxmlformats.org/drawingml/2006/picture">
            <wp:extent cx="2971800" cy="1828800"/>
            <wp:docPr id="11" name="Picture 11"/>
            <wp:cNvGraphicFramePr>
              <a:graphicFrameLocks noChangeAspect="1"/>
            </wp:cNvGraphicFramePr>
            <a:graphic>
              <a:graphicData uri="http://schemas.openxmlformats.org/drawingml/2006/picture">
                <pic:pic>
                  <pic:nvPicPr>
                    <pic:cNvPr id="0" name="inference_latency.png"/>
                    <pic:cNvPicPr/>
                  </pic:nvPicPr>
                  <pic:blipFill>
                    <a:blip r:embed="rId19"/>
                    <a:stretch>
                      <a:fillRect/>
                    </a:stretch>
                  </pic:blipFill>
                  <pic:spPr>
                    <a:xfrm>
                      <a:off x="0" y="0"/>
                      <a:ext cx="2971800" cy="1828800"/>
                    </a:xfrm>
                    <a:prstGeom prst="rect"/>
                  </pic:spPr>
                </pic:pic>
              </a:graphicData>
            </a:graphic>
          </wp:inline>
        </w:drawing>
      </w:r>
    </w:p>
    <w:p>
      <w:pPr>
        <w:spacing w:after="160"/>
        <w:jc w:val="center"/>
      </w:pPr>
      <w:r>
        <w:rPr>
          <w:rFonts w:ascii="Times New Roman" w:hAnsi="Times New Roman"/>
          <w:b w:val="0"/>
          <w:i w:val="0"/>
          <w:sz w:val="17"/>
        </w:rPr>
        <w:t>FIGURE 11. Per-email inference latency benchmark (ms).</w:t>
      </w:r>
    </w:p>
    <w:p>
      <w:pPr>
        <w:keepNext/>
        <w:spacing w:before="280" w:after="120"/>
        <w:jc w:val="center"/>
      </w:pPr>
      <w:r>
        <w:rPr>
          <w:rFonts w:ascii="Times New Roman" w:hAnsi="Times New Roman"/>
          <w:b/>
          <w:i w:val="0"/>
          <w:sz w:val="20"/>
        </w:rPr>
        <w:t>CONCLUSION &amp; FUTURE DIRECTIONS</w:t>
      </w:r>
    </w:p>
    <w:p>
      <w:pPr>
        <w:spacing w:after="80" w:line="240" w:lineRule="auto"/>
        <w:ind w:firstLine="245"/>
        <w:jc w:val="both"/>
      </w:pPr>
      <w:r>
        <w:rPr>
          <w:rFonts w:ascii="Times New Roman" w:hAnsi="Times New Roman"/>
          <w:b w:val="0"/>
          <w:i w:val="0"/>
          <w:sz w:val="20"/>
        </w:rPr>
        <w:t>The project demonstrates that a 5,112-dimensional hybrid feature matrix paired with a Soft-Voting Ensemble achieves 98.52% accuracy and 98.02% F1-score with 2.10 ms per-email latency, proving immediate production suitability for enterprise security gateways.</w:t>
      </w:r>
    </w:p>
    <w:p>
      <w:pPr>
        <w:keepNext/>
        <w:spacing w:before="280" w:after="120"/>
        <w:jc w:val="center"/>
      </w:pPr>
      <w:r>
        <w:rPr>
          <w:rFonts w:ascii="Times New Roman" w:hAnsi="Times New Roman"/>
          <w:b/>
          <w:i w:val="0"/>
          <w:sz w:val="20"/>
        </w:rPr>
        <w:t>ACKNOWLEDGEMENT</w:t>
      </w:r>
    </w:p>
    <w:p>
      <w:pPr>
        <w:spacing w:after="80" w:line="240" w:lineRule="auto"/>
        <w:ind w:firstLine="245"/>
        <w:jc w:val="both"/>
      </w:pPr>
      <w:r>
        <w:rPr>
          <w:rFonts w:ascii="Times New Roman" w:hAnsi="Times New Roman"/>
          <w:b w:val="0"/>
          <w:i w:val="0"/>
          <w:sz w:val="20"/>
        </w:rPr>
        <w:t>I would like to express my sincere gratitude to the Indian Institute of Computing and Technology (IICT) for providing me with the opportunity to undertake this internship and gain valuable practical experience in the fields of Artificial Intelligence, Machine Learning, Natural Language Processing, and Cybersecurity. The internship offered an excellent platform to strengthen my technical skills through hands-on projects, research-oriented learning, and real-world problem solving.</w:t>
      </w:r>
    </w:p>
    <w:p>
      <w:pPr>
        <w:spacing w:after="80" w:line="240" w:lineRule="auto"/>
        <w:ind w:firstLine="245"/>
        <w:jc w:val="both"/>
      </w:pPr>
      <w:r>
        <w:rPr>
          <w:rFonts w:ascii="Times New Roman" w:hAnsi="Times New Roman"/>
          <w:b w:val="0"/>
          <w:i w:val="0"/>
          <w:sz w:val="20"/>
        </w:rPr>
        <w:t>I am especially grateful to Dr. Ashok Gopalakrishnan for his exceptional guidance, mentorship, and unwavering support throughout the internship. His vast knowledge, practical teaching approach, and dedication to student learning made a significant impact on my understanding of machine learning concepts and their real-world applications. During the training program, he patiently addressed the questions and doubts of every student, ensuring that complex topics became easy to understand. His guidance during the implementation of machine learning projects laid a strong foundation for my learning and greatly enhanced my confidence in applying machine learning techniques. Furthermore, his valuable suggestions and practical insights helped me identify appropriate datasets from Kaggle, enabling me to successfully complete both internship projects with confidence and accuracy.</w:t>
      </w:r>
    </w:p>
    <w:p>
      <w:pPr>
        <w:spacing w:after="80" w:line="240" w:lineRule="auto"/>
        <w:ind w:firstLine="245"/>
        <w:jc w:val="both"/>
      </w:pPr>
      <w:r>
        <w:rPr>
          <w:rFonts w:ascii="Times New Roman" w:hAnsi="Times New Roman"/>
          <w:b w:val="0"/>
          <w:i w:val="0"/>
          <w:sz w:val="20"/>
        </w:rPr>
        <w:t>I would also like to extend my heartfelt appreciation to all the faculty members, mentors, and coordinators at IICT for their continuous encouragement, constructive feedback, and support throughout the internship. Their collective efforts created an enriching learning environment that encouraged curiosity, innovation, and independent problem-solving.</w:t>
      </w:r>
    </w:p>
    <w:p>
      <w:pPr>
        <w:spacing w:after="80" w:line="240" w:lineRule="auto"/>
        <w:ind w:firstLine="245"/>
        <w:jc w:val="both"/>
      </w:pPr>
      <w:r>
        <w:rPr>
          <w:rFonts w:ascii="Times New Roman" w:hAnsi="Times New Roman"/>
          <w:b w:val="0"/>
          <w:i w:val="0"/>
          <w:sz w:val="20"/>
        </w:rPr>
        <w:t>Finally, I express my sincere gratitude to Jecrc University, for providing me with a strong academic foundation and continuous encouragement to pursue practical learning opportunities. The knowledge, experience, and confidence gained during this internship have significantly contributed to my academic and professional development and will serve as a strong foundation for my future career in Artificial Intelligence, Machine Learning, and Cybersecurity.</w:t>
      </w:r>
    </w:p>
    <w:p>
      <w:pPr>
        <w:keepNext/>
        <w:spacing w:before="280" w:after="120"/>
        <w:jc w:val="center"/>
      </w:pPr>
      <w:r>
        <w:rPr>
          <w:rFonts w:ascii="Times New Roman" w:hAnsi="Times New Roman"/>
          <w:b/>
          <w:i w:val="0"/>
          <w:sz w:val="20"/>
        </w:rPr>
        <w:t>REFERENCES</w:t>
      </w:r>
    </w:p>
    <w:p>
      <w:pPr>
        <w:spacing w:after="40"/>
      </w:pPr>
      <w:r>
        <w:rPr>
          <w:rFonts w:ascii="Times New Roman" w:hAnsi="Times New Roman"/>
          <w:b w:val="0"/>
          <w:i w:val="0"/>
          <w:sz w:val="18"/>
        </w:rPr>
        <w:t>[1] M. Sahami et al., 'A Bayesian approach to filtering junk e-mail,' AAAI Workshop, 1998.</w:t>
      </w:r>
    </w:p>
    <w:p>
      <w:pPr>
        <w:spacing w:after="40"/>
      </w:pPr>
      <w:r>
        <w:rPr>
          <w:rFonts w:ascii="Times New Roman" w:hAnsi="Times New Roman"/>
          <w:b w:val="0"/>
          <w:i w:val="0"/>
          <w:sz w:val="18"/>
        </w:rPr>
        <w:t>[2] G. Egozi &amp; R. Verma, 'Phishing Email Detection Using Robust NLP Techniques,' IEEE ICDMW, 2018.</w:t>
      </w:r>
    </w:p>
    <w:p>
      <w:pPr>
        <w:spacing w:after="40"/>
      </w:pPr>
      <w:r>
        <w:rPr>
          <w:rFonts w:ascii="Times New Roman" w:hAnsi="Times New Roman"/>
          <w:b w:val="0"/>
          <w:i w:val="0"/>
          <w:sz w:val="18"/>
        </w:rPr>
        <w:t>[3] A. Al-Subaee &amp; A. Al-Zahrani, 'An NLP-Based Phishing Email Detection Model,' IEEE ICCAIS, 2020.</w:t>
      </w:r>
    </w:p>
    <w:p>
      <w:pPr>
        <w:spacing w:after="40"/>
      </w:pPr>
      <w:r>
        <w:rPr>
          <w:rFonts w:ascii="Times New Roman" w:hAnsi="Times New Roman"/>
          <w:b w:val="0"/>
          <w:i w:val="0"/>
          <w:sz w:val="18"/>
        </w:rPr>
        <w:t>[4] S. Gedam &amp; T. Shende, 'Phishing/Spam Email Detection with NLP,' IRJAES, 2023.</w:t>
      </w:r>
    </w:p>
    <w:p>
      <w:pPr>
        <w:spacing w:after="40"/>
      </w:pPr>
      <w:r>
        <w:rPr>
          <w:rFonts w:ascii="Times New Roman" w:hAnsi="Times New Roman"/>
          <w:b w:val="0"/>
          <w:i w:val="0"/>
          <w:sz w:val="18"/>
        </w:rPr>
        <w:t>[5] S. A. Salloum et al., 'Phishing Email Detection Using NLP: A Survey,' Procedia Comput. Sci., 2021.</w:t>
      </w:r>
    </w:p>
    <w:p>
      <w:pPr>
        <w:spacing w:after="40"/>
      </w:pPr>
      <w:r>
        <w:rPr>
          <w:rFonts w:ascii="Times New Roman" w:hAnsi="Times New Roman"/>
          <w:b w:val="0"/>
          <w:i w:val="0"/>
          <w:sz w:val="18"/>
        </w:rPr>
        <w:t>[6] P. Bountakas &amp; C. Xenakis, 'HELPHISH: Heuristics and ML for Phishing Detection,' Comput. Secur., 2021.</w:t>
      </w:r>
    </w:p>
    <w:p>
      <w:pPr>
        <w:spacing w:after="40"/>
      </w:pPr>
      <w:r>
        <w:rPr>
          <w:rFonts w:ascii="Times New Roman" w:hAnsi="Times New Roman"/>
          <w:b w:val="0"/>
          <w:i w:val="0"/>
          <w:sz w:val="18"/>
        </w:rPr>
        <w:t>[7] R. Harikrishnan et al., 'A Machine Learning Approach to Email Classification,' IEEE ICACCI, 2023.</w:t>
      </w:r>
    </w:p>
    <w:p>
      <w:pPr>
        <w:spacing w:after="40"/>
      </w:pPr>
      <w:r>
        <w:rPr>
          <w:rFonts w:ascii="Times New Roman" w:hAnsi="Times New Roman"/>
          <w:b w:val="0"/>
          <w:i w:val="0"/>
          <w:sz w:val="18"/>
        </w:rPr>
        <w:t>[8] T. Mikolov et al., 'Efficient Estimation of Word Representations in Vector Space,' arXiv:1301.3781, 2013.</w:t>
      </w:r>
    </w:p>
    <w:p>
      <w:pPr>
        <w:spacing w:after="40"/>
      </w:pPr>
      <w:r>
        <w:rPr>
          <w:rFonts w:ascii="Times New Roman" w:hAnsi="Times New Roman"/>
          <w:b w:val="0"/>
          <w:i w:val="0"/>
          <w:sz w:val="18"/>
        </w:rPr>
        <w:t>[9] J. Devlin et al., 'BERT: Pre-training of Deep Bidirectional Transformers,' NAACL-HLT, 2019.</w:t>
      </w:r>
    </w:p>
    <w:p>
      <w:pPr>
        <w:spacing w:after="40"/>
      </w:pPr>
      <w:r>
        <w:rPr>
          <w:rFonts w:ascii="Times New Roman" w:hAnsi="Times New Roman"/>
          <w:b w:val="0"/>
          <w:i w:val="0"/>
          <w:sz w:val="18"/>
        </w:rPr>
        <w:t>[10] L. Breiman, 'Random Forests,' Machine Learning, 2001.</w:t>
      </w:r>
    </w:p>
    <w:p>
      <w:pPr>
        <w:spacing w:after="40"/>
      </w:pPr>
      <w:r>
        <w:rPr>
          <w:rFonts w:ascii="Times New Roman" w:hAnsi="Times New Roman"/>
          <w:b w:val="0"/>
          <w:i w:val="0"/>
          <w:sz w:val="18"/>
        </w:rPr>
        <w:t>[11] F. Pedregosa et al., 'Scikit-learn: Machine Learning in Python,' JMLR, 2011.</w:t>
      </w:r>
    </w:p>
    <w:p>
      <w:pPr>
        <w:spacing w:after="40"/>
      </w:pPr>
      <w:r>
        <w:rPr>
          <w:rFonts w:ascii="Times New Roman" w:hAnsi="Times New Roman"/>
          <w:b w:val="0"/>
          <w:i w:val="0"/>
          <w:sz w:val="18"/>
        </w:rPr>
        <w:t>[12] C. D. Manning et al., Introduction to Information Retrieval, Cambridge Univ. Press, 2008.</w:t>
      </w:r>
    </w:p>
    <w:p>
      <w:pPr>
        <w:spacing w:after="40"/>
      </w:pPr>
      <w:r>
        <w:rPr>
          <w:rFonts w:ascii="Times New Roman" w:hAnsi="Times New Roman"/>
          <w:b w:val="0"/>
          <w:i w:val="0"/>
          <w:sz w:val="18"/>
        </w:rPr>
        <w:t>[13] Y. Bengio et al., 'A Neural Probabilistic Language Model,' JMLR, 2003.</w:t>
      </w:r>
    </w:p>
    <w:p>
      <w:pPr>
        <w:spacing w:after="40"/>
      </w:pPr>
      <w:r>
        <w:rPr>
          <w:rFonts w:ascii="Times New Roman" w:hAnsi="Times New Roman"/>
          <w:b w:val="0"/>
          <w:i w:val="0"/>
          <w:sz w:val="18"/>
        </w:rPr>
        <w:t>[14] A. K. Jain et al., 'Statistical pattern recognition: A review,' IEEE TPAMI, 2000.</w:t>
      </w:r>
    </w:p>
    <w:p>
      <w:pPr>
        <w:spacing w:after="40"/>
      </w:pPr>
      <w:r>
        <w:rPr>
          <w:rFonts w:ascii="Times New Roman" w:hAnsi="Times New Roman"/>
          <w:b w:val="0"/>
          <w:i w:val="0"/>
          <w:sz w:val="18"/>
        </w:rPr>
        <w:t>[15] D. E. Rumelhart et al., 'Learning representations by back-propagating errors,' Nature, 1986.</w:t>
      </w:r>
    </w:p>
    <w:sectPr w:rsidR="00FC693F" w:rsidRPr="0006063C" w:rsidSect="00034616">
      <w:type w:val="continuous"/>
      <w:pgSz w:w="12240" w:h="15840"/>
      <w:pgMar w:top="1440" w:right="990" w:bottom="1620" w:left="990"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