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  <w:jc w:val="center"/>
      </w:pPr>
      <w:r>
        <w:rPr>
          <w:rFonts w:ascii="Calibri" w:hAnsi="Calibri" w:eastAsia="Calibri"/>
          <w:b/>
          <w:color w:val="36A9E1"/>
          <w:sz w:val="20"/>
        </w:rPr>
        <w:t>A7 • MARKETING OPERATING SYSTEM</w:t>
      </w:r>
    </w:p>
    <w:p>
      <w:pPr>
        <w:pStyle w:val="Title"/>
        <w:jc w:val="center"/>
      </w:pPr>
      <w:r>
        <w:rPr>
          <w:rFonts w:ascii="Calibri" w:hAnsi="Calibri" w:eastAsia="Calibri"/>
          <w:b/>
          <w:color w:val="0B1F33"/>
          <w:sz w:val="60"/>
        </w:rPr>
        <w:t>Blueprint do MOS Integrado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2E74B5"/>
          <w:sz w:val="30"/>
        </w:rPr>
        <w:t>Da auditoria do projeto Orlando à metodologia replicável para a A7 Brasil</w:t>
      </w:r>
    </w:p>
    <w:p>
      <w:pPr>
        <w:spacing w:after="680"/>
        <w:jc w:val="center"/>
      </w:pPr>
      <w:r>
        <w:rPr>
          <w:rFonts w:ascii="Calibri" w:hAnsi="Calibri" w:eastAsia="Calibri"/>
          <w:color w:val="667085"/>
          <w:sz w:val="22"/>
        </w:rPr>
        <w:t>Arquitetura • conexões • funil • conteúdo • mídia • governança • migração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123A63"/>
            <w:tcMar>
              <w:top w:w="180" w:type="dxa"/>
              <w:start w:w="140" w:type="dxa"/>
              <w:bottom w:w="18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2"/>
              </w:rPr>
              <w:t>ORLANDO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FFFFFF"/>
                <w:sz w:val="18"/>
              </w:rPr>
              <w:t>observabilidade ao vivo</w:t>
            </w:r>
          </w:p>
        </w:tc>
        <w:tc>
          <w:tcPr>
            <w:tcW w:type="dxa" w:w="3120"/>
            <w:shd w:fill="2E74B5"/>
            <w:tcMar>
              <w:top w:w="180" w:type="dxa"/>
              <w:start w:w="140" w:type="dxa"/>
              <w:bottom w:w="18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2"/>
              </w:rPr>
              <w:t>BRASIL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FFFFFF"/>
                <w:sz w:val="18"/>
              </w:rPr>
              <w:t>máquina de conteúdo</w:t>
            </w:r>
          </w:p>
        </w:tc>
        <w:tc>
          <w:tcPr>
            <w:tcW w:type="dxa" w:w="3120"/>
            <w:shd w:fill="2E7D32"/>
            <w:tcMar>
              <w:top w:w="180" w:type="dxa"/>
              <w:start w:w="140" w:type="dxa"/>
              <w:bottom w:w="18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2"/>
              </w:rPr>
              <w:t>MODELO-ALVO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FFFFFF"/>
                <w:sz w:val="18"/>
              </w:rPr>
              <w:t>um núcleo, dois adaptadores</w:t>
            </w:r>
          </w:p>
        </w:tc>
      </w:tr>
    </w:tbl>
    <w:p>
      <w:pPr>
        <w:spacing w:before="1240"/>
        <w:jc w:val="center"/>
      </w:pPr>
      <w:r>
        <w:rPr>
          <w:rFonts w:ascii="Calibri" w:hAnsi="Calibri" w:eastAsia="Calibri"/>
          <w:color w:val="667085"/>
          <w:sz w:val="20"/>
        </w:rPr>
        <w:t>Documento de arquitetura e operação</w:t>
      </w:r>
    </w:p>
    <w:p>
      <w:pPr>
        <w:jc w:val="center"/>
      </w:pPr>
      <w:r>
        <w:rPr>
          <w:rFonts w:ascii="Calibri" w:hAnsi="Calibri" w:eastAsia="Calibri"/>
          <w:color w:val="667085"/>
          <w:sz w:val="18"/>
        </w:rPr>
        <w:t>Versão 1.0  •  27 de julho de 2026  •  Corte de evidência: 27/07/2026</w:t>
      </w:r>
    </w:p>
    <w:p>
      <w:pPr>
        <w:spacing w:before="1400"/>
        <w:jc w:val="center"/>
      </w:pPr>
      <w:r>
        <w:rPr>
          <w:rFonts w:ascii="Calibri" w:hAnsi="Calibri" w:eastAsia="Calibri"/>
          <w:b/>
          <w:color w:val="0B1F33"/>
          <w:sz w:val="20"/>
        </w:rPr>
        <w:t>A7 LAUNDRY ORLANDO  ×  A7 LAVANDERIA BRASIL</w:t>
      </w:r>
    </w:p>
    <w:p>
      <w:pPr>
        <w:pStyle w:val="Heading1"/>
        <w:pageBreakBefore/>
      </w:pPr>
      <w:r>
        <w:rPr>
          <w:rFonts w:ascii="Calibri" w:hAnsi="Calibri" w:eastAsia="Calibri"/>
          <w:b/>
          <w:color w:val="2E74B5"/>
          <w:sz w:val="32"/>
        </w:rPr>
        <w:t>0. Parecer executivo</w:t>
      </w:r>
    </w:p>
    <w:p>
      <w:pPr>
        <w:spacing w:after="200"/>
      </w:pPr>
      <w:r>
        <w:rPr>
          <w:rFonts w:ascii="Calibri" w:hAnsi="Calibri" w:eastAsia="Calibri"/>
          <w:i/>
          <w:color w:val="667085"/>
          <w:sz w:val="21"/>
        </w:rPr>
        <w:t>A resposta curta antes do inventário completo.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E7D32"/>
                <w:sz w:val="22"/>
              </w:rPr>
              <w:t>Veredito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11827"/>
                <w:sz w:val="20"/>
              </w:rPr>
              <w:t>O trabalho executado em Orlando já configura um serviço replicável: auditoria de verdade operacional, instrumentação do funil, conexão protegida das fontes, reconciliação de mídia e conteúdo, e transformação desses dados em decisões dentro do MOS. O Brasil possui a outra metade decisiva — escala editorial, modelo de Temporadas/Episódios, multiunidade, tags de WhatsApp, operação comercial e fábrica de ativos. A melhor estratégia não é copiar um projeto sobre o outro: é criar um núcleo MOS comum e manter adaptadores por operação.</w:t>
            </w:r>
          </w:p>
        </w:tc>
      </w:tr>
    </w:tbl>
    <w:p>
      <w:r>
        <w:rPr>
          <w:rFonts w:ascii="Calibri" w:hAnsi="Calibri" w:eastAsia="Calibri"/>
          <w:color w:val="111827"/>
          <w:sz w:val="22"/>
        </w:rPr>
        <w:t>O valor construído não é “um dashboard bonito”. É uma camada de governo que permite responder, com origem e limites visíveis: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O que está ativo agora em Meta Ads e Google Ads?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Qual campanha, anúncio, landing page ou artigo está gerando tráfego, intenção e conversa?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Quais números são ao vivo, quais são snapshots e quais dependem de registro manual?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Onde o funil está quebrando: descoberta, entrada, intenção, conversa, venda ou retenção?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Qual ação deve ser tomada, por quem, até quando e com qual critério de sucesso?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7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23A63"/>
                <w:sz w:val="22"/>
              </w:rPr>
              <w:t>Decisão recomendada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11827"/>
                <w:sz w:val="20"/>
              </w:rPr>
              <w:t>Transformar este trabalho em uma oferta-padrão chamada provisoriamente “Implantação MOS Conectado”: diagnóstico → fonte da verdade → tracking → conectores → grafo do funil → cockpit → rotina de decisão. O primeiro caso de reaplicação deve ser a A7 Brasil, preservando a força editorial já existente e substituindo as integrações manuais/fragmentadas por contratos e APIs protegidas.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7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23A63"/>
                <w:sz w:val="22"/>
              </w:rPr>
              <w:t>Mapa de leitura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11827"/>
                <w:sz w:val="20"/>
              </w:rPr>
              <w:t>Blocos 1–6: Orlando e o funil conectado. Blocos 7–10: Brasil, comparação e arquitetura-alvo. Blocos 11–15: metodologia do serviço, gates, rotina, plano de 90 dias e parecer final.</w:t>
            </w:r>
          </w:p>
        </w:tc>
      </w:tr>
    </w:tbl>
    <w:p>
      <w:pPr>
        <w:pStyle w:val="Heading1"/>
        <w:pageBreakBefore/>
      </w:pPr>
      <w:r>
        <w:rPr>
          <w:rFonts w:ascii="Calibri" w:hAnsi="Calibri" w:eastAsia="Calibri"/>
          <w:b/>
          <w:color w:val="2E74B5"/>
          <w:sz w:val="32"/>
        </w:rPr>
        <w:t>1. Ponto de partida e mudança realizada</w:t>
      </w:r>
    </w:p>
    <w:p>
      <w:r>
        <w:rPr>
          <w:rFonts w:ascii="Calibri" w:hAnsi="Calibri" w:eastAsia="Calibri"/>
          <w:color w:val="111827"/>
          <w:sz w:val="22"/>
        </w:rPr>
        <w:t>A auditoria começou como uma pergunta de negócio — “o que construímos e qual é o valor disso?” — e evoluiu para uma reconstrução completa da cadeia de aquisição, mensuração e decisão. O projeto deixou de ser apenas um site com campanhas e passou a operar como um sistema observável.</w:t>
      </w:r>
    </w:p>
    <w:p>
      <w:pPr>
        <w:pStyle w:val="Heading2"/>
      </w:pPr>
      <w:r>
        <w:t>Linha da transformação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7"/>
              </w:rPr>
              <w:t>Etapa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7"/>
              </w:rPr>
              <w:t>Problema encontrado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7"/>
              </w:rPr>
              <w:t>Mudança consolidada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1. Leitura do projeto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Ativos, campanhas e números espalhados; difícil explicar a entrega.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Inventário de site, marketing, tracking, evidências e MOS.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2. Reconciliação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GA4, GSC, Meta, Google Ads e vendas falavam linguagens diferentes.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Separação por conta, moeda, fuso, período, fonte e confiabilidade.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3. Verdade comercial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Leads eram confundidos com vendas; serviços sem venda recebiam atenção.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Foco em guest wash-and-fold, único serviço com venda confirmada no ciclo inicial.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4. Oferta e mensagem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Preço, mínimo, promessa e idioma divergiam entre criativos e páginas.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Mensagem canônica, US$50 mínimo, From US$3.25/lb e Express sujeito à disponibilidade.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5. Tracking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Clique, checkout, compra e origem não estavam unidos de forma confiável.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UTM/gclid/fbclid persistentes, eventos GA4/Meta, Stripe verificado e referência no WhatsApp.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6. MOS protegido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Painel estático e sujeito a números antigos.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Aplicação online com login, sessão segura, APIs server-side, fallback identificado e testes.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7. Grafo e funil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Era possível ver KPIs, mas não as relações entre anúncio, página, artigo e evento.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Grafo consultável e funil discovery → content → entry → intent → conversation → sale → retention.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8. Operação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Métricas não geravam prioridade clara.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Filtros, estados de saúde, planos de ação e limites de atribuição visíveis.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E7D32"/>
                <w:sz w:val="22"/>
              </w:rPr>
              <w:t>Mudança central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11827"/>
                <w:sz w:val="20"/>
              </w:rPr>
              <w:t>Antes: ferramentas conectadas à empresa, mas não conectadas entre si. Depois: fontes identificadas, contratos normalizados e relações de funil legíveis dentro do MOS.</w:t>
            </w:r>
          </w:p>
        </w:tc>
      </w:tr>
    </w:tbl>
    <w:p>
      <w:pPr>
        <w:pStyle w:val="Heading1"/>
        <w:pageBreakBefore/>
      </w:pPr>
      <w:r>
        <w:rPr>
          <w:rFonts w:ascii="Calibri" w:hAnsi="Calibri" w:eastAsia="Calibri"/>
          <w:b/>
          <w:color w:val="2E74B5"/>
          <w:sz w:val="32"/>
        </w:rPr>
        <w:t>2. Inventário consolidado — A7 Orlando</w:t>
      </w:r>
    </w:p>
    <w:p>
      <w:pPr>
        <w:spacing w:after="200"/>
      </w:pPr>
      <w:r>
        <w:rPr>
          <w:rFonts w:ascii="Calibri" w:hAnsi="Calibri" w:eastAsia="Calibri"/>
          <w:i/>
          <w:color w:val="667085"/>
          <w:sz w:val="21"/>
        </w:rPr>
        <w:t>Capacidade instalada no repositório e no ambiente operacional.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7"/>
              </w:rPr>
              <w:t>Domínio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7"/>
              </w:rPr>
              <w:t>O que existe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7"/>
              </w:rPr>
              <w:t>Evidência objetiva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Site e conteúdo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Site estático de aquisição com páginas de serviço, landing pages, blog e páginas institucionais.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85 artigos HTML; 23 HTML raiz; 106 páginas HTML carregam o tracking unificado.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Marketing</w:t>
            </w:r>
          </w:p>
        </w:tc>
        <w:tc>
          <w:tcPr>
            <w:tcW w:type="dxa" w:w="4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Ecossistema pago + feed + stories, campanhas, padrões criativos, WhatsApp, SEO/GEO e pesquisa competitiva.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329 arquivos em marketing; 230 ativos visuais no inventário medido.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Medição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GA4, Meta Pixel, eventos de CTA, checkout e compra verificada.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Testes automatizados de tracking e confirmação Stripe.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Evidências</w:t>
            </w:r>
          </w:p>
        </w:tc>
        <w:tc>
          <w:tcPr>
            <w:tcW w:type="dxa" w:w="4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Exportações canônicas e auditadas de GA4, GSC, Meta orgânico e Google Ads.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26 arquivos de evidência, com nomes determinísticos e hashes onde aplicável.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MOS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Aplicação protegida, contratos Google/Meta, grafo, ranking, filtros e fallback.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52 arquivos-fonte no mos-app, excluindo dependências e build.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Qualidade</w:t>
            </w:r>
          </w:p>
        </w:tc>
        <w:tc>
          <w:tcPr>
            <w:tcW w:type="dxa" w:w="4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Validação de site, IA search, tracking, Stripe, Google Ads, MOS e evidências.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lint, typecheck, testes e build definidos no package.json.</w:t>
            </w:r>
          </w:p>
        </w:tc>
      </w:tr>
    </w:tbl>
    <w:p>
      <w:pPr>
        <w:pStyle w:val="Heading2"/>
      </w:pPr>
      <w:r>
        <w:t>Quatro camadas já separadas</w:t>
      </w:r>
    </w:p>
    <w:p>
      <w:pPr>
        <w:pStyle w:val="ListBullet"/>
      </w:pPr>
      <w:r>
        <w:rPr>
          <w:rFonts w:ascii="Calibri" w:hAnsi="Calibri" w:eastAsia="Calibri"/>
          <w:b/>
          <w:color w:val="111827"/>
          <w:sz w:val="22"/>
        </w:rPr>
        <w:t xml:space="preserve">Aquisição pública — </w:t>
      </w:r>
      <w:r>
        <w:rPr>
          <w:rFonts w:ascii="Calibri" w:hAnsi="Calibri" w:eastAsia="Calibri"/>
          <w:color w:val="111827"/>
          <w:sz w:val="22"/>
        </w:rPr>
        <w:t>site, artigos, landing pages, SEO/GEO, anúncios e orgânico.</w:t>
      </w:r>
    </w:p>
    <w:p>
      <w:pPr>
        <w:pStyle w:val="ListBullet"/>
      </w:pPr>
      <w:r>
        <w:rPr>
          <w:rFonts w:ascii="Calibri" w:hAnsi="Calibri" w:eastAsia="Calibri"/>
          <w:b/>
          <w:color w:val="111827"/>
          <w:sz w:val="22"/>
        </w:rPr>
        <w:t xml:space="preserve">Instrumentação — </w:t>
      </w:r>
      <w:r>
        <w:rPr>
          <w:rFonts w:ascii="Calibri" w:hAnsi="Calibri" w:eastAsia="Calibri"/>
          <w:color w:val="111827"/>
          <w:sz w:val="22"/>
        </w:rPr>
        <w:t>eventos, parâmetros, persistência de origem, Stripe e pixels.</w:t>
      </w:r>
    </w:p>
    <w:p>
      <w:pPr>
        <w:pStyle w:val="ListBullet"/>
      </w:pPr>
      <w:r>
        <w:rPr>
          <w:rFonts w:ascii="Calibri" w:hAnsi="Calibri" w:eastAsia="Calibri"/>
          <w:b/>
          <w:color w:val="111827"/>
          <w:sz w:val="22"/>
        </w:rPr>
        <w:t xml:space="preserve">Observabilidade privada — </w:t>
      </w:r>
      <w:r>
        <w:rPr>
          <w:rFonts w:ascii="Calibri" w:hAnsi="Calibri" w:eastAsia="Calibri"/>
          <w:color w:val="111827"/>
          <w:sz w:val="22"/>
        </w:rPr>
        <w:t>APIs, contratos, autenticação, normalização e fallback.</w:t>
      </w:r>
    </w:p>
    <w:p>
      <w:pPr>
        <w:pStyle w:val="ListBullet"/>
      </w:pPr>
      <w:r>
        <w:rPr>
          <w:rFonts w:ascii="Calibri" w:hAnsi="Calibri" w:eastAsia="Calibri"/>
          <w:b/>
          <w:color w:val="111827"/>
          <w:sz w:val="22"/>
        </w:rPr>
        <w:t xml:space="preserve">Operação gerencial — </w:t>
      </w:r>
      <w:r>
        <w:rPr>
          <w:rFonts w:ascii="Calibri" w:hAnsi="Calibri" w:eastAsia="Calibri"/>
          <w:color w:val="111827"/>
          <w:sz w:val="22"/>
        </w:rPr>
        <w:t>painel, filtros, saúde, ranking, grafo, plano de ação e rotina.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7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23A63"/>
                <w:sz w:val="22"/>
              </w:rPr>
              <w:t>Por que isso é importante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11827"/>
                <w:sz w:val="20"/>
              </w:rPr>
              <w:t>A separação impede que o site público exponha credenciais ou que o dashboard dependa de valores escritos manualmente. Também permite evoluir o MOS sem quebrar a aquisição.</w:t>
            </w:r>
          </w:p>
        </w:tc>
      </w:tr>
    </w:tbl>
    <w:p>
      <w:pPr>
        <w:pStyle w:val="Heading1"/>
        <w:pageBreakBefore/>
      </w:pPr>
      <w:r>
        <w:rPr>
          <w:rFonts w:ascii="Calibri" w:hAnsi="Calibri" w:eastAsia="Calibri"/>
          <w:b/>
          <w:color w:val="2E74B5"/>
          <w:sz w:val="32"/>
        </w:rPr>
        <w:t>3. Arquitetura atual do MOS Orlando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011424"/>
            <wp:docPr id="1" name="Picture 1" title="Arquitetura atual do MOS Orlando" descr="Fluxo das fontes GA4, Search Console, Meta e Stripe para o contrato protegido, o MOS e a decisão, com limites de atribuição e disponibilidad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rlan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4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7"/>
              </w:rPr>
              <w:t>Componente</w:t>
            </w:r>
          </w:p>
        </w:tc>
        <w:tc>
          <w:tcPr>
            <w:tcW w:type="dxa" w:w="5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7"/>
              </w:rPr>
              <w:t>Implementação atual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Autenticação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Email permitido, hash PBKDF2, cookie assinado HttpOnly/Secure/SameSite, expiração e logout.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Operacional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Google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GA4 Data API + Search Console API por Vercel OIDC e Workload Identity Federation; escopos read-only.</w:t>
            </w:r>
          </w:p>
        </w:tc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Ao vivo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Meta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Campanhas, conjuntos, anúncios, criativos e insights por Meta Marketing API server-side read-only.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Ao vivo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Google Ads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Visão via vínculo GA4 quando houver dados; integração nativa aguarda MCC + developer token.</w:t>
            </w:r>
          </w:p>
        </w:tc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Parcial / pendente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Stripe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Checkout Session verificada no servidor antes de emitir purchase e valor.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Operacional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Fallback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Snapshot datado permanece disponível, rotulado como snapshot; ausência nunca vira zero.</w:t>
            </w:r>
          </w:p>
        </w:tc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Operacional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Grafo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channel/campaign/ad → landing/article → GA4 event/contact; joins por caminho canônico.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Operacional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Ranking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Artigos por visualizações, entradas, key events e cliques GSC; visão intraday separada.</w:t>
            </w:r>
          </w:p>
        </w:tc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Operacional</w:t>
            </w:r>
          </w:p>
        </w:tc>
      </w:tr>
    </w:tbl>
    <w:p>
      <w:pPr>
        <w:pStyle w:val="Heading1"/>
        <w:pageBreakBefore/>
      </w:pPr>
      <w:r>
        <w:rPr>
          <w:rFonts w:ascii="Calibri" w:hAnsi="Calibri" w:eastAsia="Calibri"/>
          <w:b/>
          <w:color w:val="2E74B5"/>
          <w:sz w:val="32"/>
        </w:rPr>
        <w:t>4. Contrato de verdade: como o MOS evita regressão</w:t>
      </w:r>
    </w:p>
    <w:p>
      <w:r>
        <w:rPr>
          <w:rFonts w:ascii="Calibri" w:hAnsi="Calibri" w:eastAsia="Calibri"/>
          <w:color w:val="111827"/>
          <w:sz w:val="22"/>
        </w:rPr>
        <w:t>A regressão percebida anteriormente vinha de três causas: números escritos no código, snapshots apresentados como atuais e conexões frágeis que falhavam silenciosamente. O novo desenho ataca cada uma delas por contrato.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7"/>
              </w:rPr>
              <w:t>Regra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7"/>
              </w:rPr>
              <w:t>Comportamento esperado</w:t>
            </w:r>
          </w:p>
        </w:tc>
        <w:tc>
          <w:tcPr>
            <w:tcW w:type="dxa" w:w="3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7"/>
              </w:rPr>
              <w:t>Proteção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Fonte obrigatória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Todo KPI informa origem real: API, snapshot, auditoria ou owner-reported.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Contrato de resposta + UI.</w:t>
            </w:r>
          </w:p>
        </w:tc>
      </w:tr>
      <w:tr>
        <w:trPr>
          <w:cantSplit/>
        </w:trPr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Período obrigatório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Nenhum valor aparece sem janela solicitada e fuso.</w:t>
            </w:r>
          </w:p>
        </w:tc>
        <w:tc>
          <w:tcPr>
            <w:tcW w:type="dxa" w:w="3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requestedPeriod + timezone.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Frescor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 usuário vê quando a consulta ocorreu e se é intraday, final ou antigo.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fetchedAt + freshness.</w:t>
            </w:r>
          </w:p>
        </w:tc>
      </w:tr>
      <w:tr>
        <w:trPr>
          <w:cantSplit/>
        </w:trPr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Estado explícito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live, partial_live, no_data, unavailable e snapshot não são intercambiáveis.</w:t>
            </w:r>
          </w:p>
        </w:tc>
        <w:tc>
          <w:tcPr>
            <w:tcW w:type="dxa" w:w="3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Enum + testes.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Null semântico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Dado desconhecido permanece null; zero só significa zero medido.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Normalização + regressão.</w:t>
            </w:r>
          </w:p>
        </w:tc>
      </w:tr>
      <w:tr>
        <w:trPr>
          <w:cantSplit/>
        </w:trPr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Leitura somente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 MOS consulta; não altera campanha, orçamento ou anúncio.</w:t>
            </w:r>
          </w:p>
        </w:tc>
        <w:tc>
          <w:tcPr>
            <w:tcW w:type="dxa" w:w="3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Escopos e rotas read-only.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Segredos no servidor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Token e identidade não entram no bundle do navegador.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OIDC/WIF + env server-side.</w:t>
            </w:r>
          </w:p>
        </w:tc>
      </w:tr>
      <w:tr>
        <w:trPr>
          <w:cantSplit/>
        </w:trPr>
        <w:tc>
          <w:tcPr>
            <w:tcW w:type="dxa" w:w="1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Fallback honesto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 API falhar, snapshot é exibido como snapshot, não como “ao vivo”.</w:t>
            </w:r>
          </w:p>
        </w:tc>
        <w:tc>
          <w:tcPr>
            <w:tcW w:type="dxa" w:w="3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Contrato + rótulo.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B26A00"/>
                <w:sz w:val="22"/>
              </w:rPr>
              <w:t>Exemplo real da importância desse contrato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11827"/>
                <w:sz w:val="20"/>
              </w:rPr>
              <w:t>O card de “R$0,10 de fundos no Google Ads” era um snapshot histórico codificado no MOS. A conta recebeu R$500,10 e a campanha foi ativada, mas o card não podia se atualizar porque o Google Ads nativo ainda não estava conectado. O blueprint registra isso como dívida de integração, não como falha da campanha.</w:t>
            </w:r>
          </w:p>
        </w:tc>
      </w:tr>
    </w:tbl>
    <w:p>
      <w:pPr>
        <w:pStyle w:val="Heading2"/>
      </w:pPr>
      <w:r>
        <w:t>O que a conexão resolve — e o que não resolve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Resolve atualizações automáticas para fontes com API e credencial válida.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Evita que uma falha seja representada como zero ou como dado atual.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Reduz regressão por testes de contrato, autenticação e proveniência.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Não resolve dados que a plataforma não expõe, credenciais que não existem ou vendas em dinheiro não registradas.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Não substitui rotina operacional: campanhas e conteúdo ainda precisam de decisão humana.</w:t>
      </w:r>
    </w:p>
    <w:p>
      <w:pPr>
        <w:pStyle w:val="Heading1"/>
        <w:pageBreakBefore/>
      </w:pPr>
      <w:r>
        <w:rPr>
          <w:rFonts w:ascii="Calibri" w:hAnsi="Calibri" w:eastAsia="Calibri"/>
          <w:b/>
          <w:color w:val="2E74B5"/>
          <w:sz w:val="32"/>
        </w:rPr>
        <w:t>5. Funil completo desenhado no MOS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7"/>
              </w:rPr>
              <w:t>Estágio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7"/>
              </w:rPr>
              <w:t>Entidades e sinais</w:t>
            </w:r>
          </w:p>
        </w:tc>
        <w:tc>
          <w:tcPr>
            <w:tcW w:type="dxa" w:w="3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7"/>
              </w:rPr>
              <w:t>Decisão que o MOS deve habilitar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1. Descoberta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Google Search, Meta Ads, orgânico social, GSC queries/impressions.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Onde existe demanda e quais mensagens ganham atenção?</w:t>
            </w:r>
          </w:p>
        </w:tc>
      </w:tr>
      <w:tr>
        <w:trPr>
          <w:cantSplit/>
        </w:trPr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2. Conteúdo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Artigo, carrossel, story, criativo, episódio, cluster.</w:t>
            </w:r>
          </w:p>
        </w:tc>
        <w:tc>
          <w:tcPr>
            <w:tcW w:type="dxa" w:w="3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Qual ativo aproxima o público da oferta?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3. Entrada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Landing page/article, session source/medium/campaign, gclid/fbclid/UTM.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Qual página recebe a demanda e com que qualidade?</w:t>
            </w:r>
          </w:p>
        </w:tc>
      </w:tr>
      <w:tr>
        <w:trPr>
          <w:cantSplit/>
        </w:trPr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4. Intenção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Engajamento, scroll, CTA, begin_checkout, key events.</w:t>
            </w:r>
          </w:p>
        </w:tc>
        <w:tc>
          <w:tcPr>
            <w:tcW w:type="dxa" w:w="3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O visitante entendeu e demonstrou intenção?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5. Conversa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WhatsApp/SMS/telefone, referência A7, tag de origem.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Qual origem gerou contato útil e qual gerou lead inválido?</w:t>
            </w:r>
          </w:p>
        </w:tc>
      </w:tr>
      <w:tr>
        <w:trPr>
          <w:cantSplit/>
        </w:trPr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6. Venda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Stripe pago verificado ou registro operacional de dinheiro/transferência.</w:t>
            </w:r>
          </w:p>
        </w:tc>
        <w:tc>
          <w:tcPr>
            <w:tcW w:type="dxa" w:w="3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Qual contato virou receita e por qual serviço?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7. Retenção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Recompra, recorrência, cross-sell, review e reativação.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Qual aquisição gera cliente de longo prazo?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B26A00"/>
                <w:sz w:val="22"/>
              </w:rPr>
              <w:t>Limite de atribuição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11827"/>
                <w:sz w:val="20"/>
              </w:rPr>
              <w:t>O MOS conecta entidades e sinais, mas não declara que um clique GSC, uma sessão GA4 e uma conversa Meta são a mesma pessoa. Onde não existe chave confiável, a relação permanece agregada ou parcial.</w:t>
            </w:r>
          </w:p>
        </w:tc>
      </w:tr>
    </w:tbl>
    <w:p>
      <w:pPr>
        <w:pStyle w:val="Heading2"/>
      </w:pPr>
      <w:r>
        <w:t>Funil comercial recomendado para prestação de serviço</w:t>
      </w:r>
    </w:p>
    <w:p>
      <w:r>
        <w:rPr>
          <w:rFonts w:ascii="Calibri" w:hAnsi="Calibri" w:eastAsia="Calibri"/>
          <w:color w:val="111827"/>
          <w:sz w:val="22"/>
        </w:rPr>
        <w:t>Para a A7, purchase não é o único fechamento possível. O modelo de receita deve aceitar três rotas, sem obrigar faturamento completo nesta fase:</w:t>
      </w:r>
    </w:p>
    <w:p>
      <w:pPr>
        <w:pStyle w:val="ListBullet"/>
      </w:pPr>
      <w:r>
        <w:rPr>
          <w:rFonts w:ascii="Calibri" w:hAnsi="Calibri" w:eastAsia="Calibri"/>
          <w:b/>
          <w:color w:val="111827"/>
          <w:sz w:val="22"/>
        </w:rPr>
        <w:t xml:space="preserve">Pagamento Stripe — </w:t>
      </w:r>
      <w:r>
        <w:rPr>
          <w:rFonts w:ascii="Calibri" w:hAnsi="Calibri" w:eastAsia="Calibri"/>
          <w:color w:val="111827"/>
          <w:sz w:val="22"/>
        </w:rPr>
        <w:t>captura automática após verificação server-side; transaction_id, valor e moeda.</w:t>
      </w:r>
    </w:p>
    <w:p>
      <w:pPr>
        <w:pStyle w:val="ListBullet"/>
      </w:pPr>
      <w:r>
        <w:rPr>
          <w:rFonts w:ascii="Calibri" w:hAnsi="Calibri" w:eastAsia="Calibri"/>
          <w:b/>
          <w:color w:val="111827"/>
          <w:sz w:val="22"/>
        </w:rPr>
        <w:t xml:space="preserve">Dinheiro ou transferência — </w:t>
      </w:r>
      <w:r>
        <w:rPr>
          <w:rFonts w:ascii="Calibri" w:hAnsi="Calibri" w:eastAsia="Calibri"/>
          <w:color w:val="111827"/>
          <w:sz w:val="22"/>
        </w:rPr>
        <w:t>registro operacional mínimo: data, serviço, valor, unidade, tag/referência quando conhecida.</w:t>
      </w:r>
    </w:p>
    <w:p>
      <w:pPr>
        <w:pStyle w:val="ListBullet"/>
      </w:pPr>
      <w:r>
        <w:rPr>
          <w:rFonts w:ascii="Calibri" w:hAnsi="Calibri" w:eastAsia="Calibri"/>
          <w:b/>
          <w:color w:val="111827"/>
          <w:sz w:val="22"/>
        </w:rPr>
        <w:t xml:space="preserve">Venda sem atribuição — </w:t>
      </w:r>
      <w:r>
        <w:rPr>
          <w:rFonts w:ascii="Calibri" w:hAnsi="Calibri" w:eastAsia="Calibri"/>
          <w:color w:val="111827"/>
          <w:sz w:val="22"/>
        </w:rPr>
        <w:t>continua válida como receita da operação, mas não deve ser artificialmente atribuída a uma campanha.</w:t>
      </w:r>
    </w:p>
    <w:p>
      <w:r>
        <w:rPr>
          <w:rFonts w:ascii="Calibri" w:hAnsi="Calibri" w:eastAsia="Calibri"/>
          <w:color w:val="111827"/>
          <w:sz w:val="22"/>
        </w:rPr>
        <w:t>O objetivo imediato do MOS é enxergar o funil de aquisição e intenção. A reconciliação financeira completa pode entrar como camada posterior, desde que o painel não invente ROAS.</w:t>
      </w:r>
    </w:p>
    <w:p>
      <w:pPr>
        <w:pStyle w:val="Heading1"/>
        <w:pageBreakBefore/>
      </w:pPr>
      <w:r>
        <w:rPr>
          <w:rFonts w:ascii="Calibri" w:hAnsi="Calibri" w:eastAsia="Calibri"/>
          <w:b/>
          <w:color w:val="2E74B5"/>
          <w:sz w:val="32"/>
        </w:rPr>
        <w:t>6. O que foi auditado, decidido e ativado em Orlando</w:t>
      </w:r>
    </w:p>
    <w:p>
      <w:pPr>
        <w:pStyle w:val="Heading2"/>
      </w:pPr>
      <w:r>
        <w:t>Fontes e evidências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7"/>
              </w:rPr>
              <w:t>Fonte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7"/>
              </w:rPr>
              <w:t>Período / corte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7"/>
              </w:rPr>
              <w:t>Conclusão principal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GA4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22 jun–21 jul/2026 + API ao vivo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Tráfego e páginas utilizáveis; auditoria histórica não comprovava purchase/receita; tracking foi reforçado.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Search Console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30 jun–17 jul/2026 + API ao vivo</w:t>
            </w:r>
          </w:p>
        </w:tc>
        <w:tc>
          <w:tcPr>
            <w:tcW w:type="dxa" w:w="5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17 cliques, 1.145 impressões, CTR 1,5%, posição 19,1 no snapshot; 29 indexadas e 21 não indexadas.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Meta orgânico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24 jun–24 jul/2026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IG: 562 visualizações, 260 alcance, 35 curtidas; FB: 206 visualizações, 162 alcance; Planner sem exportação.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Meta Ads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Conta 650201661142284; corte operacional 27 jul</w:t>
            </w:r>
          </w:p>
        </w:tc>
        <w:tc>
          <w:tcPr>
            <w:tcW w:type="dxa" w:w="5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Campanha guest laundry ativa, US$30/dia em dois conjuntos, quatro controles ativos; US$111 e 5 conversas no corte informado.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Google Ads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Conta 290-113-2891; corte 27 jul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Campanha Search Guest Laundry ativa e qualificada/em aprendizado; saldo real R$500,10 no corte.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Vendas informadas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Primeiro ciclo guest laundry</w:t>
            </w:r>
          </w:p>
        </w:tc>
        <w:tc>
          <w:tcPr>
            <w:tcW w:type="dxa" w:w="5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6 pedidos, US$491, com recompra; owner-reported, não atribuídos automaticamente.</w:t>
            </w:r>
          </w:p>
        </w:tc>
      </w:tr>
    </w:tbl>
    <w:p>
      <w:pPr>
        <w:pStyle w:val="Heading2"/>
      </w:pPr>
      <w:r>
        <w:t>Decisões de marketing consolidadas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Priorizar guest laundry / roupas de hóspedes, porque foi o serviço com vendas confirmadas.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Manter comforters/blankets fora da escala até existir evidência de venda.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Trabalhar Meta com campanha manual e orçamento total de US$30/dia, sem Advantage+ audience no teste atual.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Usar criativos de processo, operação real e prova responsável; evitar depoimentos artificiais.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No Google Search, usar alta intenção, exact/phrase, negativos e landing dedicada; excluir PMax, Display, broad e Search Partners no primeiro ciclo.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Alinhar anúncio, página, WhatsApp e pagamento à mesma oferta, preço e expectativa de prazo.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7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23A63"/>
                <w:sz w:val="22"/>
              </w:rPr>
              <w:t>Nota de operação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11827"/>
                <w:sz w:val="20"/>
              </w:rPr>
              <w:t>Ativação de campanha não encerra o trabalho. A rotina deve observar termos de busca, CTR, CPC, conversas úteis, qualidade do lead e venda confirmada antes de ampliar orçamento.</w:t>
            </w:r>
          </w:p>
        </w:tc>
      </w:tr>
    </w:tbl>
    <w:p>
      <w:pPr>
        <w:pStyle w:val="Heading1"/>
        <w:pageBreakBefore/>
      </w:pPr>
      <w:r>
        <w:rPr>
          <w:rFonts w:ascii="Calibri" w:hAnsi="Calibri" w:eastAsia="Calibri"/>
          <w:b/>
          <w:color w:val="2E74B5"/>
          <w:sz w:val="32"/>
        </w:rPr>
        <w:t>7. Inventário consolidado — A7 Brasil</w:t>
      </w:r>
    </w:p>
    <w:p>
      <w:pPr>
        <w:spacing w:after="200"/>
      </w:pPr>
      <w:r>
        <w:rPr>
          <w:rFonts w:ascii="Calibri" w:hAnsi="Calibri" w:eastAsia="Calibri"/>
          <w:i/>
          <w:color w:val="667085"/>
          <w:sz w:val="21"/>
        </w:rPr>
        <w:t>O projeto brasileiro tem maior maturidade editorial e operacional, mas menor fechamento por APIs no MOS.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7"/>
              </w:rPr>
              <w:t>Capacidade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7"/>
              </w:rPr>
              <w:t>O que já existe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7"/>
              </w:rPr>
              <w:t>Leitura crítica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Conteúdo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160 artigos MDX atuais, distribuídos em 9 categorias; 158 entradas de metadados MOS.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Escala muito superior a Orlando; documentação antiga ainda cita 134 artigos e precisa ser atualizada.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Páginas locais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44 landing pages por cidade/serviço e 7 páginas de serviço.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Base forte para SEO local, multiunidade e campanhas específicas.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MOS conceitual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Constituição, glossário, contratos, roadmap 1.0→5.0, Temporada/Episódio/Asset/Resultado.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Modelo estratégico mais maduro que Orlando para governar conteúdo e reaproveitamento.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Tracking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GTM, GA4, Google Ads, Meta Pixel + CAPI, event_id, UTM/gclid/fbclid e unidade/cidade.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Instrumentação corrigida em 09/07; requer monitoramento de qualidade e remoção de legado.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WhatsApp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Tags de origem, CTA contextual por categoria, playbook de operador e CRM/Sheets.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Excelente ponte entre conteúdo e operação; depende de disciplina humana após a conversa.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Performance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Looker Studio privado com GA4 e GSC conectados; Sheets previstos para Meta e CRM.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Visualização existe, mas Meta Ads e Resultado ainda são majoritariamente export/manual.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Fábrica de ativos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504 arquivos em marketing, content-engine, media-factory, biblioteca, risco IP/LGPD e asset-first.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Grande vantagem para produção escalável e reutilização multicanal.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Intelligence legado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Repositório separado com clientes Meta/Google, snapshots, alertas e automações.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Patrimônio técnico aproveitável, mas não é hoje a fonte de verdade do MOS principal; exige revisão de credenciais, deploy e escopo.</w:t>
            </w:r>
          </w:p>
        </w:tc>
      </w:tr>
    </w:tbl>
    <w:p>
      <w:pPr>
        <w:pStyle w:val="Heading2"/>
      </w:pPr>
      <w:r>
        <w:t>Forças exclusivas do Brasil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Taxonomia editorial por cluster, intenção, estágio do funil, landing page e monetização.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Modelo de Temporadas e Episódios que transforma conteúdo em campanha completa.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Operação multiunidade com roteamento por telefone, cidade e tipo de unidade.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Article Definition of Done ligado a tag WhatsApp e Resultado.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Asset-first: uma mídia deve gerar ao menos três saídas e respeitar LGPD/IP.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Playbook de atendimento com status novo → qualificado → orçado → agendado → fechou.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Tese de recorrência como KPI-rainha, superior a otimizar apenas clique ou conversa.</w:t>
      </w:r>
    </w:p>
    <w:p>
      <w:pPr>
        <w:pStyle w:val="Heading1"/>
        <w:pageBreakBefore/>
      </w:pPr>
      <w:r>
        <w:rPr>
          <w:rFonts w:ascii="Calibri" w:hAnsi="Calibri" w:eastAsia="Calibri"/>
          <w:b/>
          <w:color w:val="2E74B5"/>
          <w:sz w:val="32"/>
        </w:rPr>
        <w:t>8. Matriz comparativa: Orlando × Brasil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5"/>
              </w:rPr>
              <w:t>Capacidade</w:t>
            </w:r>
          </w:p>
        </w:tc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5"/>
              </w:rPr>
              <w:t>Orlando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5"/>
              </w:rPr>
              <w:t>Brasil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5"/>
              </w:rPr>
              <w:t>Direção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5"/>
              </w:rPr>
              <w:t>APIs protegidas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Forte: GA4/GSC/Meta ao vivo, OIDC/WIF.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Fraca/média: Looker + exports; integração própria separada.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Levar Orlando → Brasil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5"/>
              </w:rPr>
              <w:t>Estados de fonte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Forte: live/partial/no_data/unavailable/snapshot.</w:t>
            </w:r>
          </w:p>
        </w:tc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Média: status conceitual, menor padronização em runtime.</w:t>
            </w:r>
          </w:p>
        </w:tc>
        <w:tc>
          <w:tcPr>
            <w:tcW w:type="dxa" w:w="2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Levar Orlando → Brasil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5"/>
              </w:rPr>
              <w:t>Grafo do funil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Forte: entidades e joins canônicos no contrato.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Forte no modelo; parcial na execução operacional.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Fundir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5"/>
              </w:rPr>
              <w:t>Ranking de artigos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Forte: GA4/GSC e intraday no MOS.</w:t>
            </w:r>
          </w:p>
        </w:tc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Grande acervo, mas ranking operacional incompleto.</w:t>
            </w:r>
          </w:p>
        </w:tc>
        <w:tc>
          <w:tcPr>
            <w:tcW w:type="dxa" w:w="2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Levar Orlando → Brasil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5"/>
              </w:rPr>
              <w:t>Escala editorial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85 artigos HTML.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160 artigos MDX + 158 mapas MOS.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Levar Brasil → Orlando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5"/>
              </w:rPr>
              <w:t>Temporadas/Episódios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Campanhas organizadas, mas modelo menos formal.</w:t>
            </w:r>
          </w:p>
        </w:tc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Muito forte e documentado.</w:t>
            </w:r>
          </w:p>
        </w:tc>
        <w:tc>
          <w:tcPr>
            <w:tcW w:type="dxa" w:w="2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Levar Brasil → Orlando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5"/>
              </w:rPr>
              <w:t>Multiunidade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Operação única em Orlando.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Forte: cidade, unidade, telefone e tipo.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Manter no adaptador Brasil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5"/>
              </w:rPr>
              <w:t>WhatsApp operacional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Referência A7 e CTA; suporte humano.</w:t>
            </w:r>
          </w:p>
        </w:tc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Tags, lookup, Sheets e playbook maduro.</w:t>
            </w:r>
          </w:p>
        </w:tc>
        <w:tc>
          <w:tcPr>
            <w:tcW w:type="dxa" w:w="2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Levar Brasil → Orlando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5"/>
              </w:rPr>
              <w:t>Pagamento verificável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Forte: Stripe server-side e purchase dinâmico.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Prestação variável; não centralizado.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Levar padrão, adaptar meios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5"/>
              </w:rPr>
              <w:t>Fábrica de ativos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Boa biblioteca e padrões criativos.</w:t>
            </w:r>
          </w:p>
        </w:tc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Muito forte: asset-first, media-factory, IP/LGPD.</w:t>
            </w:r>
          </w:p>
        </w:tc>
        <w:tc>
          <w:tcPr>
            <w:tcW w:type="dxa" w:w="2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Levar Brasil → Orlando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5"/>
              </w:rPr>
              <w:t>Anti-regressão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Forte: testes de contrato, tracking e evidência.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Média: build/check WA; menos testes de API MOS.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Levar Orlando → Brasil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5"/>
              </w:rPr>
              <w:t>Receita e recorrência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Vendas owner-reported; recorrência inicial observada.</w:t>
            </w:r>
          </w:p>
        </w:tc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Modelo e playbook fortes; resultado ainda manual.</w:t>
            </w:r>
          </w:p>
        </w:tc>
        <w:tc>
          <w:tcPr>
            <w:tcW w:type="dxa" w:w="2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Fundir e amadurecer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E7D32"/>
                <w:sz w:val="22"/>
              </w:rPr>
              <w:t>Leitura correta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11827"/>
                <w:sz w:val="20"/>
              </w:rPr>
              <w:t>Orlando é mais forte na infraestrutura de observabilidade. Brasil é mais forte no modelo editorial-operacional. O MOS definitivo precisa dos dois.</w:t>
            </w:r>
          </w:p>
        </w:tc>
      </w:tr>
    </w:tbl>
    <w:p>
      <w:pPr>
        <w:pStyle w:val="Heading1"/>
        <w:pageBreakBefore/>
      </w:pPr>
      <w:r>
        <w:rPr>
          <w:rFonts w:ascii="Calibri" w:hAnsi="Calibri" w:eastAsia="Calibri"/>
          <w:b/>
          <w:color w:val="2E74B5"/>
          <w:sz w:val="32"/>
        </w:rPr>
        <w:t>9. Migração bidirecional</w:t>
      </w:r>
    </w:p>
    <w:p>
      <w:pPr>
        <w:pStyle w:val="Heading2"/>
      </w:pPr>
      <w:r>
        <w:t>O que levar de Orlando para o Brasil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/>
          <w:color w:val="111827"/>
          <w:sz w:val="22"/>
        </w:rPr>
        <w:t xml:space="preserve">Contratos de fonte — </w:t>
      </w:r>
      <w:r>
        <w:rPr>
          <w:rFonts w:ascii="Calibri" w:hAnsi="Calibri" w:eastAsia="Calibri"/>
          <w:color w:val="111827"/>
          <w:sz w:val="22"/>
        </w:rPr>
        <w:t>padronizar source, requestedPeriod, fetchedAt, freshness, status, limitation e error.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/>
          <w:color w:val="111827"/>
          <w:sz w:val="22"/>
        </w:rPr>
        <w:t xml:space="preserve">Camada de conectores — </w:t>
      </w:r>
      <w:r>
        <w:rPr>
          <w:rFonts w:ascii="Calibri" w:hAnsi="Calibri" w:eastAsia="Calibri"/>
          <w:color w:val="111827"/>
          <w:sz w:val="22"/>
        </w:rPr>
        <w:t>GA4/GSC/Meta server-side, read-only, com fallback identificado.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/>
          <w:color w:val="111827"/>
          <w:sz w:val="22"/>
        </w:rPr>
        <w:t xml:space="preserve">Autenticação e segredos — </w:t>
      </w:r>
      <w:r>
        <w:rPr>
          <w:rFonts w:ascii="Calibri" w:hAnsi="Calibri" w:eastAsia="Calibri"/>
          <w:color w:val="111827"/>
          <w:sz w:val="22"/>
        </w:rPr>
        <w:t>MOS fora do site público, sessão segura e credenciais só no servidor.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/>
          <w:color w:val="111827"/>
          <w:sz w:val="22"/>
        </w:rPr>
        <w:t xml:space="preserve">Ranking editorial — </w:t>
      </w:r>
      <w:r>
        <w:rPr>
          <w:rFonts w:ascii="Calibri" w:hAnsi="Calibri" w:eastAsia="Calibri"/>
          <w:color w:val="111827"/>
          <w:sz w:val="22"/>
        </w:rPr>
        <w:t>top artigos por views, entradas, key events e cliques GSC; visão intraday separada.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/>
          <w:color w:val="111827"/>
          <w:sz w:val="22"/>
        </w:rPr>
        <w:t xml:space="preserve">Grafo observável — </w:t>
      </w:r>
      <w:r>
        <w:rPr>
          <w:rFonts w:ascii="Calibri" w:hAnsi="Calibri" w:eastAsia="Calibri"/>
          <w:color w:val="111827"/>
          <w:sz w:val="22"/>
        </w:rPr>
        <w:t>campanha/ad → LP/artigo → evento/contato → resultado quando houver chave.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/>
          <w:color w:val="111827"/>
          <w:sz w:val="22"/>
        </w:rPr>
        <w:t xml:space="preserve">Estados e filtros — </w:t>
      </w:r>
      <w:r>
        <w:rPr>
          <w:rFonts w:ascii="Calibri" w:hAnsi="Calibri" w:eastAsia="Calibri"/>
          <w:color w:val="111827"/>
          <w:sz w:val="22"/>
        </w:rPr>
        <w:t>bom/atenção/crítico/indisponível e filtros por canal, saúde, período, unidade e serviço.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/>
          <w:color w:val="111827"/>
          <w:sz w:val="22"/>
        </w:rPr>
        <w:t xml:space="preserve">Evidência e testes — </w:t>
      </w:r>
      <w:r>
        <w:rPr>
          <w:rFonts w:ascii="Calibri" w:hAnsi="Calibri" w:eastAsia="Calibri"/>
          <w:color w:val="111827"/>
          <w:sz w:val="22"/>
        </w:rPr>
        <w:t>exportações canônicas, hashes, testes de null, proveniência, schema e autenticação.</w:t>
      </w:r>
    </w:p>
    <w:p>
      <w:pPr>
        <w:pStyle w:val="Heading2"/>
      </w:pPr>
      <w:r>
        <w:t>O que levar do Brasil para Orlando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/>
          <w:color w:val="111827"/>
          <w:sz w:val="22"/>
        </w:rPr>
        <w:t xml:space="preserve">Temporadas e Episódios — </w:t>
      </w:r>
      <w:r>
        <w:rPr>
          <w:rFonts w:ascii="Calibri" w:hAnsi="Calibri" w:eastAsia="Calibri"/>
          <w:color w:val="111827"/>
          <w:sz w:val="22"/>
        </w:rPr>
        <w:t>organizar cada campanha por problema, hipótese, ativos, canais, CTA, tag e aprendizado.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/>
          <w:color w:val="111827"/>
          <w:sz w:val="22"/>
        </w:rPr>
        <w:t xml:space="preserve">Article DoD — </w:t>
      </w:r>
      <w:r>
        <w:rPr>
          <w:rFonts w:ascii="Calibri" w:hAnsi="Calibri" w:eastAsia="Calibri"/>
          <w:color w:val="111827"/>
          <w:sz w:val="22"/>
        </w:rPr>
        <w:t>todo artigo com destino comercial, rastreio, owner e critério de resultado.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/>
          <w:color w:val="111827"/>
          <w:sz w:val="22"/>
        </w:rPr>
        <w:t xml:space="preserve">Taxonomia editorial — </w:t>
      </w:r>
      <w:r>
        <w:rPr>
          <w:rFonts w:ascii="Calibri" w:hAnsi="Calibri" w:eastAsia="Calibri"/>
          <w:color w:val="111827"/>
          <w:sz w:val="22"/>
        </w:rPr>
        <w:t>cluster, intent, funnel, monetization e landing vinculada para cada artigo.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/>
          <w:color w:val="111827"/>
          <w:sz w:val="22"/>
        </w:rPr>
        <w:t xml:space="preserve">Asset-first — </w:t>
      </w:r>
      <w:r>
        <w:rPr>
          <w:rFonts w:ascii="Calibri" w:hAnsi="Calibri" w:eastAsia="Calibri"/>
          <w:color w:val="111827"/>
          <w:sz w:val="22"/>
        </w:rPr>
        <w:t>cada prova real ou criativo gera pacote site + social + tráfego/SEO.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/>
          <w:color w:val="111827"/>
          <w:sz w:val="22"/>
        </w:rPr>
        <w:t xml:space="preserve">WhatsApp operacional — </w:t>
      </w:r>
      <w:r>
        <w:rPr>
          <w:rFonts w:ascii="Calibri" w:hAnsi="Calibri" w:eastAsia="Calibri"/>
          <w:color w:val="111827"/>
          <w:sz w:val="22"/>
        </w:rPr>
        <w:t>tag ou referência resolvível, status da conversa, motivo de perda e ticket quando houver.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/>
          <w:color w:val="111827"/>
          <w:sz w:val="22"/>
        </w:rPr>
        <w:t xml:space="preserve">Recorrência — </w:t>
      </w:r>
      <w:r>
        <w:rPr>
          <w:rFonts w:ascii="Calibri" w:hAnsi="Calibri" w:eastAsia="Calibri"/>
          <w:color w:val="111827"/>
          <w:sz w:val="22"/>
        </w:rPr>
        <w:t>o funil não termina na primeira venda; medir recompra, cross-sell, review e reativação.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/>
          <w:color w:val="111827"/>
          <w:sz w:val="22"/>
        </w:rPr>
        <w:t xml:space="preserve">Governança de prova — </w:t>
      </w:r>
      <w:r>
        <w:rPr>
          <w:rFonts w:ascii="Calibri" w:hAnsi="Calibri" w:eastAsia="Calibri"/>
          <w:color w:val="111827"/>
          <w:sz w:val="22"/>
        </w:rPr>
        <w:t>políticas de LGPD, autorização, anonimização e bloqueio de IP.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DEC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B42318"/>
                <w:sz w:val="22"/>
              </w:rPr>
              <w:t>O que não deve ser copiado literalmente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11827"/>
                <w:sz w:val="20"/>
              </w:rPr>
              <w:t>Contas, moedas, fusos, telefones, preços, promessas, status de campanha, política de atendimento e taxonomia local. Esses elementos pertencem ao adaptador de cada operação.</w:t>
            </w:r>
          </w:p>
        </w:tc>
      </w:tr>
    </w:tbl>
    <w:p>
      <w:pPr>
        <w:pStyle w:val="Heading1"/>
        <w:pageBreakBefore/>
      </w:pPr>
      <w:r>
        <w:rPr>
          <w:rFonts w:ascii="Calibri" w:hAnsi="Calibri" w:eastAsia="Calibri"/>
          <w:b/>
          <w:color w:val="2E74B5"/>
          <w:sz w:val="32"/>
        </w:rPr>
        <w:t>10. Arquitetura-alvo compartilhada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07664"/>
            <wp:docPr id="2" name="Picture 2" title="Arquitetura-alvo compartilhada" descr="Núcleo MOS compartilhado conectado a dois adaptadores independentes: A7 Orlando e A7 Brasil, preservando moeda, conta, fuso, oferta e verdade operacion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Princípio de produto</w:t>
      </w:r>
    </w:p>
    <w:p>
      <w:r>
        <w:rPr>
          <w:rFonts w:ascii="Calibri" w:hAnsi="Calibri" w:eastAsia="Calibri"/>
          <w:color w:val="111827"/>
          <w:sz w:val="22"/>
        </w:rPr>
        <w:t>Criar uma base MOS compartilhada, versionada e testada, e configurar cada empresa por adaptadores. Isso reduz retrabalho sem misturar operações.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8"/>
              </w:rPr>
              <w:t>Núcleo compartilhado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8"/>
              </w:rPr>
              <w:t>Adaptador por empresa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Autenticação, sessões e papéis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Domínio, usuários permitidos e política de acesso</w:t>
            </w:r>
          </w:p>
        </w:tc>
      </w:tr>
      <w:tr>
        <w:trPr>
          <w:cantSplit/>
        </w:trPr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Contratos GA4/GSC/Meta/Google Ads</w:t>
            </w:r>
          </w:p>
        </w:tc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IDs de propriedade, conta, pixel e moeda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Estados de fonte e null semântico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Fuso, latência e janela padrão</w:t>
            </w:r>
          </w:p>
        </w:tc>
      </w:tr>
      <w:tr>
        <w:trPr>
          <w:cantSplit/>
        </w:trPr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Grafo e taxonomia de entidades</w:t>
            </w:r>
          </w:p>
        </w:tc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Serviços, unidades, idiomas e rotas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Ranking e funil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KPIs-alvo, thresholds e recorrência</w:t>
            </w:r>
          </w:p>
        </w:tc>
      </w:tr>
      <w:tr>
        <w:trPr>
          <w:cantSplit/>
        </w:trPr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Testes de contrato e evidência</w:t>
            </w:r>
          </w:p>
        </w:tc>
        <w:tc>
          <w:tcPr>
            <w:tcW w:type="dxa" w:w="4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Credenciais, endpoints e smoke tests locais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Componentes do cockpit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Branding, filtros e decisões específicas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B26A00"/>
                <w:sz w:val="22"/>
              </w:rPr>
              <w:t>Estratégia de código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11827"/>
                <w:sz w:val="20"/>
              </w:rPr>
              <w:t>Não mover o MOS brasileiro inteiro para Orlando nem o mos-app de Orlando para dentro do site Brasil. Extrair o núcleo depois de estabilizar contratos e interfaces; até lá, migrar por módulos e testes.</w:t>
            </w:r>
          </w:p>
        </w:tc>
      </w:tr>
    </w:tbl>
    <w:p>
      <w:pPr>
        <w:pStyle w:val="Heading1"/>
        <w:pageBreakBefore/>
      </w:pPr>
      <w:r>
        <w:rPr>
          <w:rFonts w:ascii="Calibri" w:hAnsi="Calibri" w:eastAsia="Calibri"/>
          <w:b/>
          <w:color w:val="2E74B5"/>
          <w:sz w:val="32"/>
        </w:rPr>
        <w:t>11. Produto de serviço: Implantação MOS Conectado</w:t>
      </w:r>
    </w:p>
    <w:p>
      <w:r>
        <w:rPr>
          <w:rFonts w:ascii="Calibri" w:hAnsi="Calibri" w:eastAsia="Calibri"/>
          <w:color w:val="111827"/>
          <w:sz w:val="22"/>
        </w:rPr>
        <w:t>Esta é a metodologia replicável derivada do trabalho realizado. Ela pode ser aplicada em lavanderias, clínicas, serviços locais, empresas multiunidade e qualquer operação em que anúncios e conteúdo convergem para conversa e orçamento.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6"/>
              </w:rPr>
              <w:t>Fase</w:t>
            </w:r>
          </w:p>
        </w:tc>
        <w:tc>
          <w:tcPr>
            <w:tcW w:type="dxa" w:w="41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6"/>
              </w:rPr>
              <w:t>Entrega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6"/>
              </w:rPr>
              <w:t>Gate de saída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0. Descoberta</w:t>
            </w:r>
          </w:p>
        </w:tc>
        <w:tc>
          <w:tcPr>
            <w:tcW w:type="dxa" w:w="41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Objetivo, oferta, contas, acessos, moeda, fuso, unidades, canais e definição de venda.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Mapa de acesso e verdade comercial aprovado.</w:t>
            </w:r>
          </w:p>
        </w:tc>
      </w:tr>
      <w:tr>
        <w:trPr>
          <w:cantSplit/>
        </w:trPr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1. Auditoria</w:t>
            </w:r>
          </w:p>
        </w:tc>
        <w:tc>
          <w:tcPr>
            <w:tcW w:type="dxa" w:w="4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Site, conteúdo, mídia, tracking, analytics, CRM, pagamentos, documentos e campanhas.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Inventário com evidência e lacunas priorizadas.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2. Fonte da verdade</w:t>
            </w:r>
          </w:p>
        </w:tc>
        <w:tc>
          <w:tcPr>
            <w:tcW w:type="dxa" w:w="41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Mensagem canônica, preços, contatos, serviços, estados e nomenclatura.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Nenhuma contradição crítica entre anúncio, página e atendimento.</w:t>
            </w:r>
          </w:p>
        </w:tc>
      </w:tr>
      <w:tr>
        <w:trPr>
          <w:cantSplit/>
        </w:trPr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3. Instrumentação</w:t>
            </w:r>
          </w:p>
        </w:tc>
        <w:tc>
          <w:tcPr>
            <w:tcW w:type="dxa" w:w="4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UTM/click IDs, eventos, CTA, checkout, purchase, WhatsApp/reference e deduplicação.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Eventos validados em produção e cobertura automatizada.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4. Conectores</w:t>
            </w:r>
          </w:p>
        </w:tc>
        <w:tc>
          <w:tcPr>
            <w:tcW w:type="dxa" w:w="41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GA4, GSC, Meta, Google Ads e fontes operacionais via leitura protegida.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Cada fonte apresenta provenance, período, frescor e status.</w:t>
            </w:r>
          </w:p>
        </w:tc>
      </w:tr>
      <w:tr>
        <w:trPr>
          <w:cantSplit/>
        </w:trPr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5. Modelo do funil</w:t>
            </w:r>
          </w:p>
        </w:tc>
        <w:tc>
          <w:tcPr>
            <w:tcW w:type="dxa" w:w="4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Entidades, grafo, joins, artigo/LP/campanha/evento/resultado e limites.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Consultas retornam relações sem atribuição inventada.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6. Cockpit</w:t>
            </w:r>
          </w:p>
        </w:tc>
        <w:tc>
          <w:tcPr>
            <w:tcW w:type="dxa" w:w="41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KPIs, filtros, saúde, ranking, criativos, campanhas e planos de ação.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Gestor identifica em minutos o que está bem, mal ou sem dado.</w:t>
            </w:r>
          </w:p>
        </w:tc>
      </w:tr>
      <w:tr>
        <w:trPr>
          <w:cantSplit/>
        </w:trPr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7. Ativação</w:t>
            </w:r>
          </w:p>
        </w:tc>
        <w:tc>
          <w:tcPr>
            <w:tcW w:type="dxa" w:w="4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Campanhas, conteúdo, páginas e atendimento alinhados à mesma hipótese.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Go-live autorizado, orçamento limitado e rollback definido.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8. Operação</w:t>
            </w:r>
          </w:p>
        </w:tc>
        <w:tc>
          <w:tcPr>
            <w:tcW w:type="dxa" w:w="41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Ritual diário/semanal/mensal, backlog de testes e registro de aprendizado.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Decisões documentadas e próxima hipótese alimentada pelos dados.</w:t>
            </w:r>
          </w:p>
        </w:tc>
      </w:tr>
    </w:tbl>
    <w:p>
      <w:pPr>
        <w:pStyle w:val="Heading2"/>
      </w:pPr>
      <w:r>
        <w:t>Entregáveis padrão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Relatório de auditoria e reconciliação por fonte.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Mapa visual do funil e catálogo de conexões.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Matriz de fonte da verdade e dicionário de KPIs.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Plano de tracking e critérios de conversão.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MOS online protegido, com conectores e fallback.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Pacote de campanha/landing/CTA alinhado.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Runbook de operação, alertas, rotina e Definition of Done.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Pacote de evidências e testes anti-regressão.</w:t>
      </w:r>
    </w:p>
    <w:p>
      <w:pPr>
        <w:pStyle w:val="Heading1"/>
        <w:pageBreakBefore/>
      </w:pPr>
      <w:r>
        <w:rPr>
          <w:rFonts w:ascii="Calibri" w:hAnsi="Calibri" w:eastAsia="Calibri"/>
          <w:b/>
          <w:color w:val="2E74B5"/>
          <w:sz w:val="32"/>
        </w:rPr>
        <w:t>12. Gates de qualidade e critérios de aceite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6"/>
              </w:rPr>
              <w:t>Gate</w:t>
            </w:r>
          </w:p>
        </w:tc>
        <w:tc>
          <w:tcPr>
            <w:tcW w:type="dxa" w:w="40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6"/>
              </w:rPr>
              <w:t>Aceite mínimo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6"/>
              </w:rPr>
              <w:t>Bloqueador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Identidade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Conta, propriedade, domínio, moeda e fuso confirmados.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Misturar contas ou moedas.</w:t>
            </w:r>
          </w:p>
        </w:tc>
      </w:tr>
      <w:tr>
        <w:trPr>
          <w:cantSplit/>
        </w:trPr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Mensagem</w:t>
            </w:r>
          </w:p>
        </w:tc>
        <w:tc>
          <w:tcPr>
            <w:tcW w:type="dxa" w:w="40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Oferta, preço, mínimo, contato e promessa canônicos.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Criativo ou página contraditória.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Tracking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Eventos chegam com origem, página, CTA e IDs aplicáveis.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Clique sem referência ou evento duplicado.</w:t>
            </w:r>
          </w:p>
        </w:tc>
      </w:tr>
      <w:tr>
        <w:trPr>
          <w:cantSplit/>
        </w:trPr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Dados</w:t>
            </w:r>
          </w:p>
        </w:tc>
        <w:tc>
          <w:tcPr>
            <w:tcW w:type="dxa" w:w="40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Source/period/fetchedAt/status/limitation presentes.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Valor sem proveniência.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Semântica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null é indisponível; zero é medição real.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Transformar falha em 0.</w:t>
            </w:r>
          </w:p>
        </w:tc>
      </w:tr>
      <w:tr>
        <w:trPr>
          <w:cantSplit/>
        </w:trPr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Segurança</w:t>
            </w:r>
          </w:p>
        </w:tc>
        <w:tc>
          <w:tcPr>
            <w:tcW w:type="dxa" w:w="40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Segredos server-side, rotas protegidas e escopos read-only.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Token no navegador ou endpoint público.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Atribuição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Relações respeitam chaves e limites.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Somar usuários de plataformas ou atribuir venda sem chave.</w:t>
            </w:r>
          </w:p>
        </w:tc>
      </w:tr>
      <w:tr>
        <w:trPr>
          <w:cantSplit/>
        </w:trPr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Campanha</w:t>
            </w:r>
          </w:p>
        </w:tc>
        <w:tc>
          <w:tcPr>
            <w:tcW w:type="dxa" w:w="40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Orçamento, negativas, placements, criativo e conversão revisados.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Automação que corta texto ou altera oferta.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Operação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Owner, SLA, próxima ação e critério de sucesso definidos.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Dashboard sem decisão associada.</w:t>
            </w:r>
          </w:p>
        </w:tc>
      </w:tr>
      <w:tr>
        <w:trPr>
          <w:cantSplit/>
        </w:trPr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Regressão</w:t>
            </w:r>
          </w:p>
        </w:tc>
        <w:tc>
          <w:tcPr>
            <w:tcW w:type="dxa" w:w="40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Testes, build e smoke de produção passam.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Deploy com contrato quebrado.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E7D32"/>
                <w:sz w:val="22"/>
              </w:rPr>
              <w:t>Regra de ouro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11827"/>
                <w:sz w:val="20"/>
              </w:rPr>
              <w:t>O MOS não está pronto porque a tela abriu. Está pronto quando consegue responder uma pergunta de negócio, mostrar de onde veio a resposta e dizer o que fazer em seguida.</w:t>
            </w:r>
          </w:p>
        </w:tc>
      </w:tr>
    </w:tbl>
    <w:p>
      <w:pPr>
        <w:pStyle w:val="Heading1"/>
        <w:pageBreakBefore/>
      </w:pPr>
      <w:r>
        <w:rPr>
          <w:rFonts w:ascii="Calibri" w:hAnsi="Calibri" w:eastAsia="Calibri"/>
          <w:b/>
          <w:color w:val="2E74B5"/>
          <w:sz w:val="32"/>
        </w:rPr>
        <w:t>13. Ritual operacional e KPIs</w:t>
      </w:r>
    </w:p>
    <w:p>
      <w:pPr>
        <w:pStyle w:val="Heading2"/>
      </w:pPr>
      <w:r>
        <w:t>Cadência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7"/>
              </w:rPr>
              <w:t>Frequência</w:t>
            </w:r>
          </w:p>
        </w:tc>
        <w:tc>
          <w:tcPr>
            <w:tcW w:type="dxa" w:w="4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7"/>
              </w:rPr>
              <w:t>Revisão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7"/>
              </w:rPr>
              <w:t>Saída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Diária (10–15 min)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Entrega, gasto, bloqueios, termos ruins, leads inválidos, erros de fonte.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Correção segura ou alerta; sem decisões precipitadas por pouco volume.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Semanal (45–60 min)</w:t>
            </w:r>
          </w:p>
        </w:tc>
        <w:tc>
          <w:tcPr>
            <w:tcW w:type="dxa" w:w="4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Campanhas, artigos, LPs, conversas úteis, vendas confirmadas e criativos.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Manter, pausar, corrigir ou testar; backlog priorizado.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Quinzenal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Landing, mensagem, segmentos, placements, termos e taxa de intenção.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Nova hipótese A/B com orçamento e prazo.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Mensal</w:t>
            </w:r>
          </w:p>
        </w:tc>
        <w:tc>
          <w:tcPr>
            <w:tcW w:type="dxa" w:w="4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SEO/GEO, clusters, indexação, recorrência, prova operacional e saúde das APIs.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Temporada seguinte e plano editorial.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Trimestral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Arquitetura, segurança, taxonomia, custos, dependências e maturidade MOS.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Roadmap e atualização dos contratos.</w:t>
            </w:r>
          </w:p>
        </w:tc>
      </w:tr>
    </w:tbl>
    <w:p>
      <w:pPr>
        <w:pStyle w:val="Heading2"/>
      </w:pPr>
      <w:r>
        <w:t>KPIs por camada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7"/>
              </w:rPr>
              <w:t>Camada</w:t>
            </w:r>
          </w:p>
        </w:tc>
        <w:tc>
          <w:tcPr>
            <w:tcW w:type="dxa" w:w="45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7"/>
              </w:rPr>
              <w:t>KPIs principais</w:t>
            </w:r>
          </w:p>
        </w:tc>
        <w:tc>
          <w:tcPr>
            <w:tcW w:type="dxa" w:w="3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7"/>
              </w:rPr>
              <w:t>Cuidado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Descoberta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Impressões, alcance, posição, CPM, frequência.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Não confundir visibilidade com demanda.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Entrada</w:t>
            </w:r>
          </w:p>
        </w:tc>
        <w:tc>
          <w:tcPr>
            <w:tcW w:type="dxa" w:w="45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Cliques, CTR, CPC, sessões, engaged sessions, landing entrances.</w:t>
            </w:r>
          </w:p>
        </w:tc>
        <w:tc>
          <w:tcPr>
            <w:tcW w:type="dxa" w:w="3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Distinguir clique de sessão.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Intenção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Engagement rate, scroll, CTA, begin_checkout, key events.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Evento precisa de definição e QA.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Conversa</w:t>
            </w:r>
          </w:p>
        </w:tc>
        <w:tc>
          <w:tcPr>
            <w:tcW w:type="dxa" w:w="45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Conversas iniciadas, leads úteis, custo por conversa útil.</w:t>
            </w:r>
          </w:p>
        </w:tc>
        <w:tc>
          <w:tcPr>
            <w:tcW w:type="dxa" w:w="3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Excluir dating/spam/inválidos.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Venda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Vendas confirmadas, receita conhecida, CAC quando atribuível.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Não inferir Stripe para dinheiro/transferência.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Retenção</w:t>
            </w:r>
          </w:p>
        </w:tc>
        <w:tc>
          <w:tcPr>
            <w:tcW w:type="dxa" w:w="45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Recompra, receita recorrente, cross-sell, review, reativação.</w:t>
            </w:r>
          </w:p>
        </w:tc>
        <w:tc>
          <w:tcPr>
            <w:tcW w:type="dxa" w:w="3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Janela de coorte deve ser explícita.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Conteúdo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Views, entradas, GSC clicks, key events, conversas por artigo.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GA4/GSC não representam pessoas deduplicadas.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7"/>
              </w:rPr>
              <w:t>Saúde</w:t>
            </w:r>
          </w:p>
        </w:tc>
        <w:tc>
          <w:tcPr>
            <w:tcW w:type="dxa" w:w="45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Frescor, falhas, no_data, cobertura de tracking, dívida de conteúdo.</w:t>
            </w:r>
          </w:p>
        </w:tc>
        <w:tc>
          <w:tcPr>
            <w:tcW w:type="dxa" w:w="33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Não esconder indisponibilidade.</w:t>
            </w:r>
          </w:p>
        </w:tc>
      </w:tr>
    </w:tbl>
    <w:p>
      <w:pPr>
        <w:pStyle w:val="Heading1"/>
        <w:pageBreakBefore/>
      </w:pPr>
      <w:r>
        <w:rPr>
          <w:rFonts w:ascii="Calibri" w:hAnsi="Calibri" w:eastAsia="Calibri"/>
          <w:b/>
          <w:color w:val="2E74B5"/>
          <w:sz w:val="32"/>
        </w:rPr>
        <w:t>14. Plano de adoção em 90 dias</w:t>
      </w:r>
    </w:p>
    <w:p>
      <w:pPr>
        <w:pStyle w:val="Heading2"/>
      </w:pPr>
      <w:r>
        <w:t>Brasil — prioridade de implantação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6"/>
              </w:rPr>
              <w:t>Janela</w:t>
            </w:r>
          </w:p>
        </w:tc>
        <w:tc>
          <w:tcPr>
            <w:tcW w:type="dxa" w:w="49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6"/>
              </w:rPr>
              <w:t>Prioridades</w:t>
            </w:r>
          </w:p>
        </w:tc>
        <w:tc>
          <w:tcPr>
            <w:tcW w:type="dxa" w:w="2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6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Dias 1–15</w:t>
            </w:r>
          </w:p>
        </w:tc>
        <w:tc>
          <w:tcPr>
            <w:tcW w:type="dxa" w:w="49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Congelar fonte da verdade; inventariar contas; validar GA4/GSC/GTM/Meta/Google; reconciliar 160 artigos e 44 LPs; escolher uma Temporada piloto.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Mapa confiável e escopo do piloto.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Dias 16–30</w:t>
            </w:r>
          </w:p>
        </w:tc>
        <w:tc>
          <w:tcPr>
            <w:tcW w:type="dxa" w:w="49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Implantar contratos de fonte; autenticação; conectores GA4/GSC; ranking de artigos; health/freshness.</w:t>
            </w:r>
          </w:p>
        </w:tc>
        <w:tc>
          <w:tcPr>
            <w:tcW w:type="dxa" w:w="2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MOS Brasil com primeira camada ao vivo.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Dias 31–45</w:t>
            </w:r>
          </w:p>
        </w:tc>
        <w:tc>
          <w:tcPr>
            <w:tcW w:type="dxa" w:w="49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Conectar Meta Ads read-only; normalizar campanha/adset/ad/creative; migrar catálogo de conexões.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Mídia paga visível sem export manual.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Dias 46–60</w:t>
            </w:r>
          </w:p>
        </w:tc>
        <w:tc>
          <w:tcPr>
            <w:tcW w:type="dxa" w:w="49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Conectar Google Ads nativo se credenciais permitirem; caso contrário, marcar parcial e manter Looker/exports.</w:t>
            </w:r>
          </w:p>
        </w:tc>
        <w:tc>
          <w:tcPr>
            <w:tcW w:type="dxa" w:w="2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Estado Google verdadeiro e sem falsa cobertura.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Dias 61–75</w:t>
            </w:r>
          </w:p>
        </w:tc>
        <w:tc>
          <w:tcPr>
            <w:tcW w:type="dxa" w:w="49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Integrar tags WhatsApp + Sheets/CRM + Resultado; reconciliar conversa, orçamento, venda e recorrência do piloto.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Primeiro loop conteúdo → receita.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Dias 76–90</w:t>
            </w:r>
          </w:p>
        </w:tc>
        <w:tc>
          <w:tcPr>
            <w:tcW w:type="dxa" w:w="49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Operar duas temporadas, automatizar alertas, revisar dívida editorial por GSC e documentar playbook multiunidade.</w:t>
            </w:r>
          </w:p>
        </w:tc>
        <w:tc>
          <w:tcPr>
            <w:tcW w:type="dxa" w:w="2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Modelo repetível para demais unidades.</w:t>
            </w:r>
          </w:p>
        </w:tc>
      </w:tr>
    </w:tbl>
    <w:p>
      <w:pPr>
        <w:pStyle w:val="Heading2"/>
      </w:pPr>
      <w:r>
        <w:t>Orlando — evolução paralela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Concluir Google Ads API nativa via MCC/developer token ou remover qualquer KPI que dependa dela sem rótulo de snapshot.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Validar em produção o novo ciclo Google Search: termos, conversão, saldo, status e venda útil.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Adicionar registro operacional mínimo para dinheiro/transferência sem transformar o MOS em ERP.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Formalizar Temporadas/Episódios para guest laundry e conteúdo local.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Trazer o Article DoD e a disciplina de asset-first do Brasil.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Revisar DNS do domínio mos.a7laundry.com e manter a URL Vercel como fallback até propagação confirmada.</w:t>
      </w:r>
    </w:p>
    <w:p>
      <w:pPr>
        <w:pStyle w:val="ListBullet"/>
      </w:pPr>
      <w:r>
        <w:rPr>
          <w:rFonts w:ascii="Calibri" w:hAnsi="Calibri" w:eastAsia="Calibri"/>
          <w:color w:val="111827"/>
          <w:sz w:val="22"/>
        </w:rPr>
        <w:t>Medir retenção e recompra do serviço guest laundry, não apenas primeira conversa.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B26A00"/>
                <w:sz w:val="22"/>
              </w:rPr>
              <w:t>Ordem correta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11827"/>
                <w:sz w:val="20"/>
              </w:rPr>
              <w:t>Primeiro consolidar as fontes e os contratos. Depois conectar Resultado. Por último automatizar recomendação e orçamento. Automação em dado frágil apenas acelera erro.</w:t>
            </w:r>
          </w:p>
        </w:tc>
      </w:tr>
    </w:tbl>
    <w:p>
      <w:pPr>
        <w:pStyle w:val="Heading1"/>
        <w:pageBreakBefore/>
      </w:pPr>
      <w:r>
        <w:rPr>
          <w:rFonts w:ascii="Calibri" w:hAnsi="Calibri" w:eastAsia="Calibri"/>
          <w:b/>
          <w:color w:val="2E74B5"/>
          <w:sz w:val="32"/>
        </w:rPr>
        <w:t>15. Feedback final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E7D32"/>
                <w:sz w:val="22"/>
              </w:rPr>
              <w:t>O que vocês realmente construíram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11827"/>
                <w:sz w:val="20"/>
              </w:rPr>
              <w:t>Vocês construíram o começo de um sistema operacional de crescimento para prestação de serviço local: ele une mídia, busca, conteúdo, páginas, conversa, pagamento e aprendizado sem fingir que todas as plataformas contam a mesma história. Esse é um ativo reutilizável e vendável.</w:t>
            </w:r>
          </w:p>
        </w:tc>
      </w:tr>
    </w:tbl>
    <w:p>
      <w:r>
        <w:rPr>
          <w:rFonts w:ascii="Calibri" w:hAnsi="Calibri" w:eastAsia="Calibri"/>
          <w:color w:val="111827"/>
          <w:sz w:val="22"/>
        </w:rPr>
        <w:t>O maior avanço de Orlando foi substituir “números no painel” por “números com identidade”. O maior avanço do Brasil foi substituir “posts e artigos” por “ativos organizados em temporadas, episódios, funil e recorrência”. Unidos, esses projetos podem produzir um MOS superior aos dois atuais.</w:t>
      </w:r>
    </w:p>
    <w:p>
      <w:pPr>
        <w:pStyle w:val="Heading2"/>
      </w:pPr>
      <w:r>
        <w:t>Minha recomendação objetiva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Calibri"/>
          <w:b/>
          <w:color w:val="111827"/>
          <w:sz w:val="22"/>
        </w:rPr>
        <w:t xml:space="preserve">Não recomeçar do zero no Brasil. </w:t>
      </w:r>
      <w:r>
        <w:rPr>
          <w:rFonts w:ascii="Calibri" w:hAnsi="Calibri" w:eastAsia="Calibri"/>
          <w:color w:val="111827"/>
          <w:sz w:val="22"/>
        </w:rPr>
        <w:t>Preservar o site, o acervo, a taxonomia, o playbook e a lógica de Temporadas.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Calibri"/>
          <w:b/>
          <w:color w:val="111827"/>
          <w:sz w:val="22"/>
        </w:rPr>
        <w:t xml:space="preserve">Não duplicar o MOS. </w:t>
      </w:r>
      <w:r>
        <w:rPr>
          <w:rFonts w:ascii="Calibri" w:hAnsi="Calibri" w:eastAsia="Calibri"/>
          <w:color w:val="111827"/>
          <w:sz w:val="22"/>
        </w:rPr>
        <w:t>Criar um núcleo compartilhado gradualmente, começando pelos contratos e conectores que já funcionam em Orlando.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Calibri"/>
          <w:b/>
          <w:color w:val="111827"/>
          <w:sz w:val="22"/>
        </w:rPr>
        <w:t xml:space="preserve">Escolher um piloto estreito. </w:t>
      </w:r>
      <w:r>
        <w:rPr>
          <w:rFonts w:ascii="Calibri" w:hAnsi="Calibri" w:eastAsia="Calibri"/>
          <w:color w:val="111827"/>
          <w:sz w:val="22"/>
        </w:rPr>
        <w:t>Uma temporada, um serviço, poucas unidades e uma única definição de Resultado.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Calibri"/>
          <w:b/>
          <w:color w:val="111827"/>
          <w:sz w:val="22"/>
        </w:rPr>
        <w:t xml:space="preserve">Usar o conteúdo brasileiro como laboratório de ranking. </w:t>
      </w:r>
      <w:r>
        <w:rPr>
          <w:rFonts w:ascii="Calibri" w:hAnsi="Calibri" w:eastAsia="Calibri"/>
          <w:color w:val="111827"/>
          <w:sz w:val="22"/>
        </w:rPr>
        <w:t>Com 160 artigos, ele oferece volume suficiente para provar a ligação artigo → entrada → CTA → conversa.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Calibri"/>
          <w:b/>
          <w:color w:val="111827"/>
          <w:sz w:val="22"/>
        </w:rPr>
        <w:t xml:space="preserve">Usar Orlando como laboratório de mídia e APIs. </w:t>
      </w:r>
      <w:r>
        <w:rPr>
          <w:rFonts w:ascii="Calibri" w:hAnsi="Calibri" w:eastAsia="Calibri"/>
          <w:color w:val="111827"/>
          <w:sz w:val="22"/>
        </w:rPr>
        <w:t>A operação tem escopo menor, mensagem focada e conectores mais maduros.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Calibri"/>
          <w:b/>
          <w:color w:val="111827"/>
          <w:sz w:val="22"/>
        </w:rPr>
        <w:t xml:space="preserve">Tratar recorrência como destino. </w:t>
      </w:r>
      <w:r>
        <w:rPr>
          <w:rFonts w:ascii="Calibri" w:hAnsi="Calibri" w:eastAsia="Calibri"/>
          <w:color w:val="111827"/>
          <w:sz w:val="22"/>
        </w:rPr>
        <w:t>A primeira venda valida a oferta; a recompra valida o negócio.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7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23A63"/>
                <w:sz w:val="22"/>
              </w:rPr>
              <w:t>Tese final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11827"/>
                <w:sz w:val="20"/>
              </w:rPr>
              <w:t>A7 Brasil traz profundidade e escala. A7 Orlando traz observabilidade e disciplina de fonte. O produto certo é uma plataforma comum que transforma conhecimento em demanda, demanda em conversa, conversa em receita rastreável e receita em nova decisão.</w:t>
            </w:r>
          </w:p>
        </w:tc>
      </w:tr>
    </w:tbl>
    <w:p>
      <w:pPr>
        <w:pStyle w:val="Heading1"/>
        <w:pageBreakBefore/>
      </w:pPr>
      <w:r>
        <w:rPr>
          <w:rFonts w:ascii="Calibri" w:hAnsi="Calibri" w:eastAsia="Calibri"/>
          <w:b/>
          <w:color w:val="2E74B5"/>
          <w:sz w:val="32"/>
        </w:rPr>
        <w:t>A. Apêndice — fonte da verdade por integração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6"/>
              </w:rPr>
              <w:t>Fonte</w:t>
            </w:r>
          </w:p>
        </w:tc>
        <w:tc>
          <w:tcPr>
            <w:tcW w:type="dxa" w:w="2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6"/>
              </w:rPr>
              <w:t>Orlando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6"/>
              </w:rPr>
              <w:t>Brasil</w:t>
            </w:r>
          </w:p>
        </w:tc>
        <w:tc>
          <w:tcPr>
            <w:tcW w:type="dxa" w:w="2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A63"/>
                <w:sz w:val="16"/>
              </w:rPr>
              <w:t>Regra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GA4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Data API ao vivo; property 543807649.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Looker/GA4 conectado; Data API a implantar.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Nunca misturar propriedades.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GSC</w:t>
            </w:r>
          </w:p>
        </w:tc>
        <w:tc>
          <w:tcPr>
            <w:tcW w:type="dxa" w:w="2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sc-domain:a7laundry.com ao vivo.</w:t>
            </w:r>
          </w:p>
        </w:tc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URL-prefix a7lavanderia.com.br + vínculo GA4.</w:t>
            </w:r>
          </w:p>
        </w:tc>
        <w:tc>
          <w:tcPr>
            <w:tcW w:type="dxa" w:w="2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Canonizar URL e respeitar tipo de propriedade.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Meta Ads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Marketing API read-only ao vivo.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Export/Looker + projeto separado de inteligência.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Conta e moeda no adaptador.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Google Ads</w:t>
            </w:r>
          </w:p>
        </w:tc>
        <w:tc>
          <w:tcPr>
            <w:tcW w:type="dxa" w:w="2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Conta 290-113-2891; nativo pendente.</w:t>
            </w:r>
          </w:p>
        </w:tc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Conta 436-048-5240 citada no tracking; status deve ser revalidado.</w:t>
            </w:r>
          </w:p>
        </w:tc>
        <w:tc>
          <w:tcPr>
            <w:tcW w:type="dxa" w:w="2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Não usar ID antigo sem auditoria.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Stripe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Checkout verificado server-side.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Não é fonte central para prestação variável.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Compra automática só após verificação.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WhatsApp</w:t>
            </w:r>
          </w:p>
        </w:tc>
        <w:tc>
          <w:tcPr>
            <w:tcW w:type="dxa" w:w="27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A7 Ref + CTA; operação simples.</w:t>
            </w:r>
          </w:p>
        </w:tc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Tags + lookup + Sheets + playbook multiunidade.</w:t>
            </w:r>
          </w:p>
        </w:tc>
        <w:tc>
          <w:tcPr>
            <w:tcW w:type="dxa" w:w="2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Referência deve sobreviver ao clique.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11827"/>
                <w:sz w:val="16"/>
              </w:rPr>
              <w:t>Receita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Owner-reported + Stripe quando verificável.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Sheets/CRM manual por Resultado.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Distinguir receita conhecida de atribuída.</w:t>
            </w:r>
          </w:p>
        </w:tc>
      </w:tr>
    </w:tbl>
    <w:p>
      <w:pPr>
        <w:pStyle w:val="Heading2"/>
      </w:pPr>
      <w:r>
        <w:t>Evidências principais consultadas</w:t>
      </w:r>
    </w:p>
    <w:p>
      <w:pPr>
        <w:pStyle w:val="ListBullet"/>
      </w:pPr>
      <w:r>
        <w:rPr>
          <w:rFonts w:ascii="Courier New" w:hAnsi="Courier New" w:eastAsia="Courier New"/>
          <w:color w:val="667085"/>
          <w:sz w:val="14"/>
        </w:rPr>
        <w:t>Orlando — story e contratos: docs/stories/a7-003-conversion-observability.md; mos-app/*-kpis-contract.js; mos-app/api/google-kpis.js</w:t>
      </w:r>
    </w:p>
    <w:p>
      <w:pPr>
        <w:pStyle w:val="ListBullet"/>
      </w:pPr>
      <w:r>
        <w:rPr>
          <w:rFonts w:ascii="Courier New" w:hAnsi="Courier New" w:eastAsia="Courier New"/>
          <w:color w:val="667085"/>
          <w:sz w:val="14"/>
        </w:rPr>
        <w:t>Orlando — GA4/GSC: docs/audits/evidence/2026-07-22/{ga4,gsc}/README.md</w:t>
      </w:r>
    </w:p>
    <w:p>
      <w:pPr>
        <w:pStyle w:val="ListBullet"/>
      </w:pPr>
      <w:r>
        <w:rPr>
          <w:rFonts w:ascii="Courier New" w:hAnsi="Courier New" w:eastAsia="Courier New"/>
          <w:color w:val="667085"/>
          <w:sz w:val="14"/>
        </w:rPr>
        <w:t>Orlando — Meta/Google Ads: docs/audits/evidence/2026-07-24/{meta-organic,google-ads}/README.md</w:t>
      </w:r>
    </w:p>
    <w:p>
      <w:pPr>
        <w:pStyle w:val="ListBullet"/>
      </w:pPr>
      <w:r>
        <w:rPr>
          <w:rFonts w:ascii="Courier New" w:hAnsi="Courier New" w:eastAsia="Courier New"/>
          <w:color w:val="667085"/>
          <w:sz w:val="14"/>
        </w:rPr>
        <w:t>Brasil — base: README.md; package.json; docs/tracking/README.md</w:t>
      </w:r>
    </w:p>
    <w:p>
      <w:pPr>
        <w:pStyle w:val="ListBullet"/>
      </w:pPr>
      <w:r>
        <w:rPr>
          <w:rFonts w:ascii="Courier New" w:hAnsi="Courier New" w:eastAsia="Courier New"/>
          <w:color w:val="667085"/>
          <w:sz w:val="14"/>
        </w:rPr>
        <w:t>Brasil — MOS: docs/marketing-os/{00-MOS-CONSTITUTION,02-MOS-DATA-CONTRACTS,05-ARTICLE-DEFINITION-OF-DONE,MOS-ROADMAP}.md</w:t>
      </w:r>
    </w:p>
    <w:p>
      <w:pPr>
        <w:pStyle w:val="ListBullet"/>
      </w:pPr>
      <w:r>
        <w:rPr>
          <w:rFonts w:ascii="Courier New" w:hAnsi="Courier New" w:eastAsia="Courier New"/>
          <w:color w:val="667085"/>
          <w:sz w:val="14"/>
        </w:rPr>
        <w:t>Brasil — auditoria: docs/mos-arqueologia-reconstrucao.md; docs/audit/fase-1-mos-correcao-gtm-2026-07-09.md</w:t>
      </w:r>
    </w:p>
    <w:p>
      <w:pPr>
        <w:pStyle w:val="ListBullet"/>
      </w:pPr>
      <w:r>
        <w:rPr>
          <w:rFonts w:ascii="Courier New" w:hAnsi="Courier New" w:eastAsia="Courier New"/>
          <w:color w:val="667085"/>
          <w:sz w:val="14"/>
        </w:rPr>
        <w:t>Brasil — runtime: src/data/mos-meta.ts; src/lib/analytics.ts; src/lib/cta.ts</w:t>
      </w:r>
    </w:p>
    <w:p>
      <w:pPr>
        <w:pStyle w:val="ListBullet"/>
      </w:pPr>
      <w:r>
        <w:rPr>
          <w:rFonts w:ascii="Courier New" w:hAnsi="Courier New" w:eastAsia="Courier New"/>
          <w:color w:val="667085"/>
          <w:sz w:val="14"/>
        </w:rPr>
        <w:t>Brasil — operação: marketing/content-engine/asset-first-system.md; docs/operacao/whatsapp-playbook.md</w:t>
      </w:r>
    </w:p>
    <w:p>
      <w:pPr>
        <w:pStyle w:val="ListBullet"/>
      </w:pPr>
      <w:r>
        <w:rPr>
          <w:rFonts w:ascii="Courier New" w:hAnsi="Courier New" w:eastAsia="Courier New"/>
          <w:color w:val="667085"/>
          <w:sz w:val="14"/>
        </w:rPr>
        <w:t>Legado: /Users/dennisarruda/projects/a7-intelligence-meta (código e deploy guide, leitura somente).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B26A00"/>
                <w:sz w:val="22"/>
              </w:rPr>
              <w:t>Boundary de evidência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Calibri"/>
                <w:color w:val="111827"/>
                <w:sz w:val="20"/>
              </w:rPr>
              <w:t>Este documento combina repositório, artefatos de auditoria e verificações operacionais realizadas até 27/07/2026. Estados de campanha, saldo e métricas mudam; por isso devem ser consultados ao vivo no MOS ou nas plataformas antes de qualquer decisão futura.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085"/>
        <w:sz w:val="16"/>
      </w:rPr>
      <w:t xml:space="preserve">A7 MOS Blueprint  •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4" w:color="E8EEF5"/>
      </w:pBdr>
    </w:pPr>
    <w:r>
      <w:rPr>
        <w:rFonts w:ascii="Calibri" w:hAnsi="Calibri" w:eastAsia="Calibri"/>
        <w:b/>
        <w:color w:val="2E74B5"/>
        <w:sz w:val="16"/>
      </w:rPr>
      <w:t>A7  |  BLUEPRINT DO MOS INTEGRADO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23A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B1F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7Callout">
    <w:name w:val="A7 Callout"/>
    <w:pPr>
      <w:spacing w:before="100" w:after="160" w:line="288" w:lineRule="auto"/>
      <w:ind w:left="259" w:right="259"/>
      <w:pBdr>
        <w:left w:val="single" w:sz="18" w:space="8" w:color="36A9E1"/>
      </w:pBdr>
    </w:pPr>
    <w:rPr>
      <w:rFonts w:ascii="Calibri" w:hAnsi="Calibri" w:eastAsia="Calibri"/>
      <w:color w:val="123A6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Blueprint do MOS Integrado — A7 Orlando e A7 Brasil</dc:title>
  <dc:subject>Arquitetura, auditoria, funil e metodologia de implantação MOS</dc:subject>
  <dc:creator>A7 / Codex</dc:creator>
  <cp:keywords>MOS, A7, auditoria, GA4, Search Console, Meta Ads, Google Ads, funil, conteúdo</cp:keywords>
  <dc:description>Gerado a partir de evidências locais e verificações operacionais até 2026-07-27.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