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color w:val="087C85"/>
          <w:sz w:val="16"/>
        </w:rPr>
        <w:t>CHECKPOINT 4 / DRAFT EVALUATION REPORT</w:t>
      </w:r>
    </w:p>
    <w:p>
      <w:pPr>
        <w:pStyle w:val="Title"/>
      </w:pPr>
      <w:r>
        <w:t>ResearchVoice AI — Evaluation &amp; Test Report</w:t>
      </w:r>
    </w:p>
    <w:p>
      <w:pPr>
        <w:spacing w:after="240"/>
      </w:pPr>
      <w:r>
        <w:rPr>
          <w:rFonts w:ascii="Aptos" w:hAnsi="Aptos"/>
          <w:b w:val="0"/>
          <w:color w:val="607181"/>
          <w:sz w:val="18"/>
        </w:rPr>
        <w:t>Evidence-first report for the DEPI AI for Healthcare graduation submission. Last observed demo: 26 October 2026.</w:t>
      </w:r>
    </w:p>
    <w:p>
      <w:r>
        <w:rPr>
          <w:rFonts w:ascii="Aptos" w:hAnsi="Aptos"/>
          <w:b w:val="0"/>
          <w:color w:val="263B4B"/>
          <w:sz w:val="18"/>
        </w:rPr>
        <w:t>STATUS: DRAFT / INCOMPLETE SIGN-OFF. This report consolidates observed working behaviors and remaining requirements; it does not claim all prescribed scenarios, human ratings, or per-step LangSmith traces exist.</w:t>
      </w:r>
    </w:p>
    <w:p>
      <w:pPr>
        <w:pStyle w:val="Heading1"/>
      </w:pPr>
      <w:r>
        <w:t>1  System under evaluation</w:t>
      </w:r>
    </w:p>
    <w:p>
      <w:r>
        <w:rPr>
          <w:rFonts w:ascii="Aptos" w:hAnsi="Aptos"/>
          <w:b w:val="0"/>
          <w:color w:val="263B4B"/>
          <w:sz w:val="18"/>
        </w:rPr>
        <w:t>One integrated n8n workflow (instructor-approved exception) has five owned components: C1 researcher study/schema setup; C2 Telegram voice/text intake + entry safeguards; C3 schema-constrained Gemini extraction; C4 independent Gemini QA + monitoring/LangSmith; C5 human confirmation + XLSX export. The prototype uses synthetic or de-identified-only data and does not diagnose or prescribe.</w:t>
      </w:r>
    </w:p>
    <w:p>
      <w:pPr>
        <w:pStyle w:val="Heading1"/>
      </w:pPr>
      <w:r>
        <w:t>2  Test and evidence register</w:t>
      </w:r>
    </w:p>
    <w:tbl>
      <w:tblPr>
        <w:tblW w:type="auto" w:w="0"/>
        <w:jc w:val="center"/>
        <w:tblLayout w:type="fixed"/>
        <w:tblLook w:firstColumn="1" w:firstRow="1" w:lastColumn="0" w:lastRow="0" w:noHBand="0" w:noVBand="1" w:val="04A0"/>
      </w:tblPr>
      <w:tblGrid>
        <w:gridCol w:w="3326"/>
        <w:gridCol w:w="3326"/>
        <w:gridCol w:w="3326"/>
      </w:tblGrid>
      <w:tr>
        <w:tc>
          <w:tcPr>
            <w:tcW w:type="dxa" w:w="2664"/>
            <w:shd w:fill="17324D"/>
            <w:vAlign w:val="center"/>
          </w:tcPr>
          <w:p>
            <w:pPr>
              <w:spacing w:after="20"/>
            </w:pPr>
            <w:r>
              <w:rPr>
                <w:rFonts w:ascii="Aptos" w:hAnsi="Aptos"/>
                <w:b/>
                <w:color w:val="FFFFFF"/>
                <w:sz w:val="16"/>
              </w:rPr>
              <w:t>Requirement</w:t>
            </w:r>
          </w:p>
        </w:tc>
        <w:tc>
          <w:tcPr>
            <w:tcW w:type="dxa" w:w="5256"/>
            <w:shd w:fill="17324D"/>
            <w:vAlign w:val="center"/>
          </w:tcPr>
          <w:p>
            <w:pPr>
              <w:spacing w:after="20"/>
            </w:pPr>
            <w:r>
              <w:rPr>
                <w:rFonts w:ascii="Aptos" w:hAnsi="Aptos"/>
                <w:b/>
                <w:color w:val="FFFFFF"/>
                <w:sz w:val="16"/>
              </w:rPr>
              <w:t>Current evidence</w:t>
            </w:r>
          </w:p>
        </w:tc>
        <w:tc>
          <w:tcPr>
            <w:tcW w:type="dxa" w:w="1872"/>
            <w:shd w:fill="17324D"/>
            <w:vAlign w:val="center"/>
          </w:tcPr>
          <w:p>
            <w:pPr>
              <w:spacing w:after="20"/>
            </w:pPr>
            <w:r>
              <w:rPr>
                <w:rFonts w:ascii="Aptos" w:hAnsi="Aptos"/>
                <w:b/>
                <w:color w:val="FFFFFF"/>
                <w:sz w:val="16"/>
              </w:rPr>
              <w:t>Disposition</w:t>
            </w:r>
          </w:p>
        </w:tc>
      </w:tr>
      <w:tr>
        <w:tc>
          <w:tcPr>
            <w:tcW w:type="dxa" w:w="2664"/>
            <w:vAlign w:val="center"/>
            <w:shd w:fill="EFF5F7"/>
          </w:tcPr>
          <w:p>
            <w:pPr>
              <w:spacing w:after="20"/>
            </w:pPr>
            <w:r>
              <w:rPr>
                <w:rFonts w:ascii="Aptos" w:hAnsi="Aptos"/>
                <w:b w:val="0"/>
                <w:color w:val="263B4B"/>
                <w:sz w:val="16"/>
              </w:rPr>
              <w:t>Typical E2E scenario</w:t>
            </w:r>
          </w:p>
        </w:tc>
        <w:tc>
          <w:tcPr>
            <w:tcW w:type="dxa" w:w="5256"/>
            <w:vAlign w:val="center"/>
            <w:shd w:fill="EFF5F7"/>
          </w:tcPr>
          <w:p>
            <w:pPr>
              <w:spacing w:after="20"/>
            </w:pPr>
            <w:r>
              <w:rPr>
                <w:rFonts w:ascii="Aptos" w:hAnsi="Aptos"/>
                <w:b w:val="0"/>
                <w:color w:val="263B4B"/>
                <w:sz w:val="16"/>
              </w:rPr>
              <w:t>Prior normal synthetic demos; formal current-case packet not signed.</w:t>
            </w:r>
          </w:p>
        </w:tc>
        <w:tc>
          <w:tcPr>
            <w:tcW w:type="dxa" w:w="1872"/>
            <w:vAlign w:val="center"/>
            <w:shd w:fill="EFF5F7"/>
          </w:tcPr>
          <w:p>
            <w:pPr>
              <w:spacing w:after="20"/>
            </w:pPr>
            <w:r>
              <w:rPr>
                <w:rFonts w:ascii="Aptos" w:hAnsi="Aptos"/>
                <w:b w:val="0"/>
                <w:color w:val="263B4B"/>
                <w:sz w:val="16"/>
              </w:rPr>
              <w:t>PENDING</w:t>
            </w:r>
          </w:p>
        </w:tc>
      </w:tr>
      <w:tr>
        <w:tc>
          <w:tcPr>
            <w:tcW w:type="dxa" w:w="2664"/>
            <w:vAlign w:val="center"/>
          </w:tcPr>
          <w:p>
            <w:pPr>
              <w:spacing w:after="20"/>
            </w:pPr>
            <w:r>
              <w:rPr>
                <w:rFonts w:ascii="Aptos" w:hAnsi="Aptos"/>
                <w:b w:val="0"/>
                <w:color w:val="263B4B"/>
                <w:sz w:val="16"/>
              </w:rPr>
              <w:t>Complicated E2E scenario</w:t>
            </w:r>
          </w:p>
        </w:tc>
        <w:tc>
          <w:tcPr>
            <w:tcW w:type="dxa" w:w="5256"/>
            <w:vAlign w:val="center"/>
          </w:tcPr>
          <w:p>
            <w:pPr>
              <w:spacing w:after="20"/>
            </w:pPr>
            <w:r>
              <w:rPr>
                <w:rFonts w:ascii="Aptos" w:hAnsi="Aptos"/>
                <w:b w:val="0"/>
                <w:color w:val="263B4B"/>
                <w:sz w:val="16"/>
              </w:rPr>
              <w:t>Observed transcription/schema mismatch, soft alert, correction, XLSX delivery.</w:t>
            </w:r>
          </w:p>
        </w:tc>
        <w:tc>
          <w:tcPr>
            <w:tcW w:type="dxa" w:w="1872"/>
            <w:vAlign w:val="center"/>
          </w:tcPr>
          <w:p>
            <w:pPr>
              <w:spacing w:after="20"/>
            </w:pPr>
            <w:r>
              <w:rPr>
                <w:rFonts w:ascii="Aptos" w:hAnsi="Aptos"/>
                <w:b w:val="0"/>
                <w:color w:val="263B4B"/>
                <w:sz w:val="16"/>
              </w:rPr>
              <w:t>OBSERVED; owner sign-off pending</w:t>
            </w:r>
          </w:p>
        </w:tc>
      </w:tr>
      <w:tr>
        <w:tc>
          <w:tcPr>
            <w:tcW w:type="dxa" w:w="2664"/>
            <w:vAlign w:val="center"/>
            <w:shd w:fill="EFF5F7"/>
          </w:tcPr>
          <w:p>
            <w:pPr>
              <w:spacing w:after="20"/>
            </w:pPr>
            <w:r>
              <w:rPr>
                <w:rFonts w:ascii="Aptos" w:hAnsi="Aptos"/>
                <w:b w:val="0"/>
                <w:color w:val="263B4B"/>
                <w:sz w:val="16"/>
              </w:rPr>
              <w:t>Unsafe E2E scenario</w:t>
            </w:r>
          </w:p>
        </w:tc>
        <w:tc>
          <w:tcPr>
            <w:tcW w:type="dxa" w:w="5256"/>
            <w:vAlign w:val="center"/>
            <w:shd w:fill="EFF5F7"/>
          </w:tcPr>
          <w:p>
            <w:pPr>
              <w:spacing w:after="20"/>
            </w:pPr>
            <w:r>
              <w:rPr>
                <w:rFonts w:ascii="Aptos" w:hAnsi="Aptos"/>
                <w:b w:val="0"/>
                <w:color w:val="263B4B"/>
                <w:sz w:val="16"/>
              </w:rPr>
              <w:t>Earlier guardrail validation; no formally documented full Phase 4 refusal case.</w:t>
            </w:r>
          </w:p>
        </w:tc>
        <w:tc>
          <w:tcPr>
            <w:tcW w:type="dxa" w:w="1872"/>
            <w:vAlign w:val="center"/>
            <w:shd w:fill="EFF5F7"/>
          </w:tcPr>
          <w:p>
            <w:pPr>
              <w:spacing w:after="20"/>
            </w:pPr>
            <w:r>
              <w:rPr>
                <w:rFonts w:ascii="Aptos" w:hAnsi="Aptos"/>
                <w:b w:val="0"/>
                <w:color w:val="263B4B"/>
                <w:sz w:val="16"/>
              </w:rPr>
              <w:t>PENDING</w:t>
            </w:r>
          </w:p>
        </w:tc>
      </w:tr>
      <w:tr>
        <w:tc>
          <w:tcPr>
            <w:tcW w:type="dxa" w:w="2664"/>
            <w:vAlign w:val="center"/>
          </w:tcPr>
          <w:p>
            <w:pPr>
              <w:spacing w:after="20"/>
            </w:pPr>
            <w:r>
              <w:rPr>
                <w:rFonts w:ascii="Aptos" w:hAnsi="Aptos"/>
                <w:b w:val="0"/>
                <w:color w:val="263B4B"/>
                <w:sz w:val="16"/>
              </w:rPr>
              <w:t>5 tests per owner</w:t>
            </w:r>
          </w:p>
        </w:tc>
        <w:tc>
          <w:tcPr>
            <w:tcW w:type="dxa" w:w="5256"/>
            <w:vAlign w:val="center"/>
          </w:tcPr>
          <w:p>
            <w:pPr>
              <w:spacing w:after="20"/>
            </w:pPr>
            <w:r>
              <w:rPr>
                <w:rFonts w:ascii="Aptos" w:hAnsi="Aptos"/>
                <w:b w:val="0"/>
                <w:color w:val="263B4B"/>
                <w:sz w:val="16"/>
              </w:rPr>
              <w:t>Batch 2 tracker has 25 slots; owner-by-owner sign-off is pending.</w:t>
            </w:r>
          </w:p>
        </w:tc>
        <w:tc>
          <w:tcPr>
            <w:tcW w:type="dxa" w:w="1872"/>
            <w:vAlign w:val="center"/>
          </w:tcPr>
          <w:p>
            <w:pPr>
              <w:spacing w:after="20"/>
            </w:pPr>
            <w:r>
              <w:rPr>
                <w:rFonts w:ascii="Aptos" w:hAnsi="Aptos"/>
                <w:b w:val="0"/>
                <w:color w:val="263B4B"/>
                <w:sz w:val="16"/>
              </w:rPr>
              <w:t>PENDING</w:t>
            </w:r>
          </w:p>
        </w:tc>
      </w:tr>
      <w:tr>
        <w:tc>
          <w:tcPr>
            <w:tcW w:type="dxa" w:w="2664"/>
            <w:vAlign w:val="center"/>
            <w:shd w:fill="EFF5F7"/>
          </w:tcPr>
          <w:p>
            <w:pPr>
              <w:spacing w:after="20"/>
            </w:pPr>
            <w:r>
              <w:rPr>
                <w:rFonts w:ascii="Aptos" w:hAnsi="Aptos"/>
                <w:b w:val="0"/>
                <w:color w:val="263B4B"/>
                <w:sz w:val="16"/>
              </w:rPr>
              <w:t>Independent AI judge</w:t>
            </w:r>
          </w:p>
        </w:tc>
        <w:tc>
          <w:tcPr>
            <w:tcW w:type="dxa" w:w="5256"/>
            <w:vAlign w:val="center"/>
            <w:shd w:fill="EFF5F7"/>
          </w:tcPr>
          <w:p>
            <w:pPr>
              <w:spacing w:after="20"/>
            </w:pPr>
            <w:r>
              <w:rPr>
                <w:rFonts w:ascii="Aptos" w:hAnsi="Aptos"/>
                <w:b w:val="0"/>
                <w:color w:val="263B4B"/>
                <w:sz w:val="16"/>
              </w:rPr>
              <w:t>Rubric for factual, groundedness, safety, format, bias; live output observed.</w:t>
            </w:r>
          </w:p>
        </w:tc>
        <w:tc>
          <w:tcPr>
            <w:tcW w:type="dxa" w:w="1872"/>
            <w:vAlign w:val="center"/>
            <w:shd w:fill="EFF5F7"/>
          </w:tcPr>
          <w:p>
            <w:pPr>
              <w:spacing w:after="20"/>
            </w:pPr>
            <w:r>
              <w:rPr>
                <w:rFonts w:ascii="Aptos" w:hAnsi="Aptos"/>
                <w:b w:val="0"/>
                <w:color w:val="263B4B"/>
                <w:sz w:val="16"/>
              </w:rPr>
              <w:t>IMPLEMENTED</w:t>
            </w:r>
          </w:p>
        </w:tc>
      </w:tr>
      <w:tr>
        <w:tc>
          <w:tcPr>
            <w:tcW w:type="dxa" w:w="2664"/>
            <w:vAlign w:val="center"/>
          </w:tcPr>
          <w:p>
            <w:pPr>
              <w:spacing w:after="20"/>
            </w:pPr>
            <w:r>
              <w:rPr>
                <w:rFonts w:ascii="Aptos" w:hAnsi="Aptos"/>
                <w:b w:val="0"/>
                <w:color w:val="263B4B"/>
                <w:sz w:val="16"/>
              </w:rPr>
              <w:t>Two human reviewers</w:t>
            </w:r>
          </w:p>
        </w:tc>
        <w:tc>
          <w:tcPr>
            <w:tcW w:type="dxa" w:w="5256"/>
            <w:vAlign w:val="center"/>
          </w:tcPr>
          <w:p>
            <w:pPr>
              <w:spacing w:after="20"/>
            </w:pPr>
            <w:r>
              <w:rPr>
                <w:rFonts w:ascii="Aptos" w:hAnsi="Aptos"/>
                <w:b w:val="0"/>
                <w:color w:val="263B4B"/>
                <w:sz w:val="16"/>
              </w:rPr>
              <w:t>No independent scores entered yet.</w:t>
            </w:r>
          </w:p>
        </w:tc>
        <w:tc>
          <w:tcPr>
            <w:tcW w:type="dxa" w:w="1872"/>
            <w:vAlign w:val="center"/>
          </w:tcPr>
          <w:p>
            <w:pPr>
              <w:spacing w:after="20"/>
            </w:pPr>
            <w:r>
              <w:rPr>
                <w:rFonts w:ascii="Aptos" w:hAnsi="Aptos"/>
                <w:b w:val="0"/>
                <w:color w:val="263B4B"/>
                <w:sz w:val="16"/>
              </w:rPr>
              <w:t>NOT STARTED</w:t>
            </w:r>
          </w:p>
        </w:tc>
      </w:tr>
      <w:tr>
        <w:tc>
          <w:tcPr>
            <w:tcW w:type="dxa" w:w="2664"/>
            <w:vAlign w:val="center"/>
            <w:shd w:fill="EFF5F7"/>
          </w:tcPr>
          <w:p>
            <w:pPr>
              <w:spacing w:after="20"/>
            </w:pPr>
            <w:r>
              <w:rPr>
                <w:rFonts w:ascii="Aptos" w:hAnsi="Aptos"/>
                <w:b w:val="0"/>
                <w:color w:val="263B4B"/>
                <w:sz w:val="16"/>
              </w:rPr>
              <w:t>LangSmith</w:t>
            </w:r>
          </w:p>
        </w:tc>
        <w:tc>
          <w:tcPr>
            <w:tcW w:type="dxa" w:w="5256"/>
            <w:vAlign w:val="center"/>
            <w:shd w:fill="EFF5F7"/>
          </w:tcPr>
          <w:p>
            <w:pPr>
              <w:spacing w:after="20"/>
            </w:pPr>
            <w:r>
              <w:rPr>
                <w:rFonts w:ascii="Aptos" w:hAnsi="Aptos"/>
                <w:b w:val="0"/>
                <w:color w:val="263B4B"/>
                <w:sz w:val="16"/>
              </w:rPr>
              <w:t>Accepted metadata-only QA checkpoint, including five scores.</w:t>
            </w:r>
          </w:p>
        </w:tc>
        <w:tc>
          <w:tcPr>
            <w:tcW w:type="dxa" w:w="1872"/>
            <w:vAlign w:val="center"/>
            <w:shd w:fill="EFF5F7"/>
          </w:tcPr>
          <w:p>
            <w:pPr>
              <w:spacing w:after="20"/>
            </w:pPr>
            <w:r>
              <w:rPr>
                <w:rFonts w:ascii="Aptos" w:hAnsi="Aptos"/>
                <w:b w:val="0"/>
                <w:color w:val="263B4B"/>
                <w:sz w:val="16"/>
              </w:rPr>
              <w:t>PARTIAL TRACE COVERAGE</w:t>
            </w:r>
          </w:p>
        </w:tc>
      </w:tr>
      <w:tr>
        <w:tc>
          <w:tcPr>
            <w:tcW w:type="dxa" w:w="2664"/>
            <w:vAlign w:val="center"/>
          </w:tcPr>
          <w:p>
            <w:pPr>
              <w:spacing w:after="20"/>
            </w:pPr>
            <w:r>
              <w:rPr>
                <w:rFonts w:ascii="Aptos" w:hAnsi="Aptos"/>
                <w:b w:val="0"/>
                <w:color w:val="263B4B"/>
                <w:sz w:val="16"/>
              </w:rPr>
              <w:t>Monitoring / alerts</w:t>
            </w:r>
          </w:p>
        </w:tc>
        <w:tc>
          <w:tcPr>
            <w:tcW w:type="dxa" w:w="5256"/>
            <w:vAlign w:val="center"/>
          </w:tcPr>
          <w:p>
            <w:pPr>
              <w:spacing w:after="20"/>
            </w:pPr>
            <w:r>
              <w:rPr>
                <w:rFonts w:ascii="Aptos" w:hAnsi="Aptos"/>
                <w:b w:val="0"/>
                <w:color w:val="263B4B"/>
                <w:sz w:val="16"/>
              </w:rPr>
              <w:t>Soft warning observed; hard hold implemented, not demonstrated.</w:t>
            </w:r>
          </w:p>
        </w:tc>
        <w:tc>
          <w:tcPr>
            <w:tcW w:type="dxa" w:w="1872"/>
            <w:vAlign w:val="center"/>
          </w:tcPr>
          <w:p>
            <w:pPr>
              <w:spacing w:after="20"/>
            </w:pPr>
            <w:r>
              <w:rPr>
                <w:rFonts w:ascii="Aptos" w:hAnsi="Aptos"/>
                <w:b w:val="0"/>
                <w:color w:val="263B4B"/>
                <w:sz w:val="16"/>
              </w:rPr>
              <w:t>PARTIAL EVIDENCE</w:t>
            </w:r>
          </w:p>
        </w:tc>
      </w:tr>
    </w:tbl>
    <w:p>
      <w:pPr>
        <w:pStyle w:val="Heading1"/>
      </w:pPr>
      <w:r>
        <w:t>3  Observed quantitative results (small synthetic snapshot)</w:t>
      </w:r>
    </w:p>
    <w:tbl>
      <w:tblPr>
        <w:tblW w:type="auto" w:w="0"/>
        <w:jc w:val="center"/>
        <w:tblLayout w:type="fixed"/>
        <w:tblLook w:firstColumn="1" w:firstRow="1" w:lastColumn="0" w:lastRow="0" w:noHBand="0" w:noVBand="1" w:val="04A0"/>
      </w:tblPr>
      <w:tblGrid>
        <w:gridCol w:w="3326"/>
        <w:gridCol w:w="3326"/>
        <w:gridCol w:w="3326"/>
      </w:tblGrid>
      <w:tr>
        <w:tc>
          <w:tcPr>
            <w:tcW w:type="dxa" w:w="2664"/>
            <w:shd w:fill="17324D"/>
            <w:vAlign w:val="center"/>
          </w:tcPr>
          <w:p>
            <w:pPr>
              <w:spacing w:after="20"/>
            </w:pPr>
            <w:r>
              <w:rPr>
                <w:rFonts w:ascii="Aptos" w:hAnsi="Aptos"/>
                <w:b/>
                <w:color w:val="FFFFFF"/>
                <w:sz w:val="16"/>
              </w:rPr>
              <w:t>Metric</w:t>
            </w:r>
          </w:p>
        </w:tc>
        <w:tc>
          <w:tcPr>
            <w:tcW w:type="dxa" w:w="1728"/>
            <w:shd w:fill="17324D"/>
            <w:vAlign w:val="center"/>
          </w:tcPr>
          <w:p>
            <w:pPr>
              <w:spacing w:after="20"/>
            </w:pPr>
            <w:r>
              <w:rPr>
                <w:rFonts w:ascii="Aptos" w:hAnsi="Aptos"/>
                <w:b/>
                <w:color w:val="FFFFFF"/>
                <w:sz w:val="16"/>
              </w:rPr>
              <w:t>Observed</w:t>
            </w:r>
          </w:p>
        </w:tc>
        <w:tc>
          <w:tcPr>
            <w:tcW w:type="dxa" w:w="5400"/>
            <w:shd w:fill="17324D"/>
            <w:vAlign w:val="center"/>
          </w:tcPr>
          <w:p>
            <w:pPr>
              <w:spacing w:after="20"/>
            </w:pPr>
            <w:r>
              <w:rPr>
                <w:rFonts w:ascii="Aptos" w:hAnsi="Aptos"/>
                <w:b/>
                <w:color w:val="FFFFFF"/>
                <w:sz w:val="16"/>
              </w:rPr>
              <w:t>Interpretation / scope</w:t>
            </w:r>
          </w:p>
        </w:tc>
      </w:tr>
      <w:tr>
        <w:tc>
          <w:tcPr>
            <w:tcW w:type="dxa" w:w="2664"/>
            <w:vAlign w:val="center"/>
            <w:shd w:fill="EFF5F7"/>
          </w:tcPr>
          <w:p>
            <w:pPr>
              <w:spacing w:after="20"/>
            </w:pPr>
            <w:r>
              <w:rPr>
                <w:rFonts w:ascii="Aptos" w:hAnsi="Aptos"/>
                <w:b w:val="0"/>
                <w:color w:val="263B4B"/>
                <w:sz w:val="16"/>
              </w:rPr>
              <w:t>Completed judge runs</w:t>
            </w:r>
          </w:p>
        </w:tc>
        <w:tc>
          <w:tcPr>
            <w:tcW w:type="dxa" w:w="1728"/>
            <w:vAlign w:val="center"/>
            <w:shd w:fill="EFF5F7"/>
          </w:tcPr>
          <w:p>
            <w:pPr>
              <w:spacing w:after="20"/>
            </w:pPr>
            <w:r>
              <w:rPr>
                <w:rFonts w:ascii="Aptos" w:hAnsi="Aptos"/>
                <w:b w:val="0"/>
                <w:color w:val="263B4B"/>
                <w:sz w:val="16"/>
              </w:rPr>
              <w:t>1</w:t>
            </w:r>
          </w:p>
        </w:tc>
        <w:tc>
          <w:tcPr>
            <w:tcW w:type="dxa" w:w="5400"/>
            <w:vAlign w:val="center"/>
            <w:shd w:fill="EFF5F7"/>
          </w:tcPr>
          <w:p>
            <w:pPr>
              <w:spacing w:after="20"/>
            </w:pPr>
            <w:r>
              <w:rPr>
                <w:rFonts w:ascii="Aptos" w:hAnsi="Aptos"/>
                <w:b w:val="0"/>
                <w:color w:val="263B4B"/>
                <w:sz w:val="16"/>
              </w:rPr>
              <w:t>One rolling /monitor snapshot; not project lifetime total.</w:t>
            </w:r>
          </w:p>
        </w:tc>
      </w:tr>
      <w:tr>
        <w:tc>
          <w:tcPr>
            <w:tcW w:type="dxa" w:w="2664"/>
            <w:vAlign w:val="center"/>
          </w:tcPr>
          <w:p>
            <w:pPr>
              <w:spacing w:after="20"/>
            </w:pPr>
            <w:r>
              <w:rPr>
                <w:rFonts w:ascii="Aptos" w:hAnsi="Aptos"/>
                <w:b w:val="0"/>
                <w:color w:val="263B4B"/>
                <w:sz w:val="16"/>
              </w:rPr>
              <w:t>Judge pass rate</w:t>
            </w:r>
          </w:p>
        </w:tc>
        <w:tc>
          <w:tcPr>
            <w:tcW w:type="dxa" w:w="1728"/>
            <w:vAlign w:val="center"/>
          </w:tcPr>
          <w:p>
            <w:pPr>
              <w:spacing w:after="20"/>
            </w:pPr>
            <w:r>
              <w:rPr>
                <w:rFonts w:ascii="Aptos" w:hAnsi="Aptos"/>
                <w:b w:val="0"/>
                <w:color w:val="263B4B"/>
                <w:sz w:val="16"/>
              </w:rPr>
              <w:t>0.0%</w:t>
            </w:r>
          </w:p>
        </w:tc>
        <w:tc>
          <w:tcPr>
            <w:tcW w:type="dxa" w:w="5400"/>
            <w:vAlign w:val="center"/>
          </w:tcPr>
          <w:p>
            <w:pPr>
              <w:spacing w:after="20"/>
            </w:pPr>
            <w:r>
              <w:rPr>
                <w:rFonts w:ascii="Aptos" w:hAnsi="Aptos"/>
                <w:b w:val="0"/>
                <w:color w:val="263B4B"/>
                <w:sz w:val="16"/>
              </w:rPr>
              <w:t>Observed case had format 3/5; overall needs_review.</w:t>
            </w:r>
          </w:p>
        </w:tc>
      </w:tr>
      <w:tr>
        <w:tc>
          <w:tcPr>
            <w:tcW w:type="dxa" w:w="2664"/>
            <w:vAlign w:val="center"/>
            <w:shd w:fill="EFF5F7"/>
          </w:tcPr>
          <w:p>
            <w:pPr>
              <w:spacing w:after="20"/>
            </w:pPr>
            <w:r>
              <w:rPr>
                <w:rFonts w:ascii="Aptos" w:hAnsi="Aptos"/>
                <w:b w:val="0"/>
                <w:color w:val="263B4B"/>
                <w:sz w:val="16"/>
              </w:rPr>
              <w:t>Mean judge rating</w:t>
            </w:r>
          </w:p>
        </w:tc>
        <w:tc>
          <w:tcPr>
            <w:tcW w:type="dxa" w:w="1728"/>
            <w:vAlign w:val="center"/>
            <w:shd w:fill="EFF5F7"/>
          </w:tcPr>
          <w:p>
            <w:pPr>
              <w:spacing w:after="20"/>
            </w:pPr>
            <w:r>
              <w:rPr>
                <w:rFonts w:ascii="Aptos" w:hAnsi="Aptos"/>
                <w:b w:val="0"/>
                <w:color w:val="263B4B"/>
                <w:sz w:val="16"/>
              </w:rPr>
              <w:t>4.6/5</w:t>
            </w:r>
          </w:p>
        </w:tc>
        <w:tc>
          <w:tcPr>
            <w:tcW w:type="dxa" w:w="5400"/>
            <w:vAlign w:val="center"/>
            <w:shd w:fill="EFF5F7"/>
          </w:tcPr>
          <w:p>
            <w:pPr>
              <w:spacing w:after="20"/>
            </w:pPr>
            <w:r>
              <w:rPr>
                <w:rFonts w:ascii="Aptos" w:hAnsi="Aptos"/>
                <w:b w:val="0"/>
                <w:color w:val="263B4B"/>
                <w:sz w:val="16"/>
              </w:rPr>
              <w:t>Uncalibrated AI score; not clinical accuracy.</w:t>
            </w:r>
          </w:p>
        </w:tc>
      </w:tr>
      <w:tr>
        <w:tc>
          <w:tcPr>
            <w:tcW w:type="dxa" w:w="2664"/>
            <w:vAlign w:val="center"/>
          </w:tcPr>
          <w:p>
            <w:pPr>
              <w:spacing w:after="20"/>
            </w:pPr>
            <w:r>
              <w:rPr>
                <w:rFonts w:ascii="Aptos" w:hAnsi="Aptos"/>
                <w:b w:val="0"/>
                <w:color w:val="263B4B"/>
                <w:sz w:val="16"/>
              </w:rPr>
              <w:t>Judge p95 duration</w:t>
            </w:r>
          </w:p>
        </w:tc>
        <w:tc>
          <w:tcPr>
            <w:tcW w:type="dxa" w:w="1728"/>
            <w:vAlign w:val="center"/>
          </w:tcPr>
          <w:p>
            <w:pPr>
              <w:spacing w:after="20"/>
            </w:pPr>
            <w:r>
              <w:rPr>
                <w:rFonts w:ascii="Aptos" w:hAnsi="Aptos"/>
                <w:b w:val="0"/>
                <w:color w:val="263B4B"/>
                <w:sz w:val="16"/>
              </w:rPr>
              <w:t>10,490 ms</w:t>
            </w:r>
          </w:p>
        </w:tc>
        <w:tc>
          <w:tcPr>
            <w:tcW w:type="dxa" w:w="5400"/>
            <w:vAlign w:val="center"/>
          </w:tcPr>
          <w:p>
            <w:pPr>
              <w:spacing w:after="20"/>
            </w:pPr>
            <w:r>
              <w:rPr>
                <w:rFonts w:ascii="Aptos" w:hAnsi="Aptos"/>
                <w:b w:val="0"/>
                <w:color w:val="263B4B"/>
                <w:sz w:val="16"/>
              </w:rPr>
              <w:t>Judge portion only; not end-to-end processing time.</w:t>
            </w:r>
          </w:p>
        </w:tc>
      </w:tr>
      <w:tr>
        <w:tc>
          <w:tcPr>
            <w:tcW w:type="dxa" w:w="2664"/>
            <w:vAlign w:val="center"/>
            <w:shd w:fill="EFF5F7"/>
          </w:tcPr>
          <w:p>
            <w:pPr>
              <w:spacing w:after="20"/>
            </w:pPr>
            <w:r>
              <w:rPr>
                <w:rFonts w:ascii="Aptos" w:hAnsi="Aptos"/>
                <w:b w:val="0"/>
                <w:color w:val="263B4B"/>
                <w:sz w:val="16"/>
              </w:rPr>
              <w:t>Soft / hard alerts</w:t>
            </w:r>
          </w:p>
        </w:tc>
        <w:tc>
          <w:tcPr>
            <w:tcW w:type="dxa" w:w="1728"/>
            <w:vAlign w:val="center"/>
            <w:shd w:fill="EFF5F7"/>
          </w:tcPr>
          <w:p>
            <w:pPr>
              <w:spacing w:after="20"/>
            </w:pPr>
            <w:r>
              <w:rPr>
                <w:rFonts w:ascii="Aptos" w:hAnsi="Aptos"/>
                <w:b w:val="0"/>
                <w:color w:val="263B4B"/>
                <w:sz w:val="16"/>
              </w:rPr>
              <w:t>1 / 0</w:t>
            </w:r>
          </w:p>
        </w:tc>
        <w:tc>
          <w:tcPr>
            <w:tcW w:type="dxa" w:w="5400"/>
            <w:vAlign w:val="center"/>
            <w:shd w:fill="EFF5F7"/>
          </w:tcPr>
          <w:p>
            <w:pPr>
              <w:spacing w:after="20"/>
            </w:pPr>
            <w:r>
              <w:rPr>
                <w:rFonts w:ascii="Aptos" w:hAnsi="Aptos"/>
                <w:b w:val="0"/>
                <w:color w:val="263B4B"/>
                <w:sz w:val="16"/>
              </w:rPr>
              <w:t>Soft alert was triggered by unresolved variable mismatch.</w:t>
            </w:r>
          </w:p>
        </w:tc>
      </w:tr>
      <w:tr>
        <w:tc>
          <w:tcPr>
            <w:tcW w:type="dxa" w:w="2664"/>
            <w:vAlign w:val="center"/>
          </w:tcPr>
          <w:p>
            <w:pPr>
              <w:spacing w:after="20"/>
            </w:pPr>
            <w:r>
              <w:rPr>
                <w:rFonts w:ascii="Aptos" w:hAnsi="Aptos"/>
                <w:b w:val="0"/>
                <w:color w:val="263B4B"/>
                <w:sz w:val="16"/>
              </w:rPr>
              <w:t>Confirmed / failed exports</w:t>
            </w:r>
          </w:p>
        </w:tc>
        <w:tc>
          <w:tcPr>
            <w:tcW w:type="dxa" w:w="1728"/>
            <w:vAlign w:val="center"/>
          </w:tcPr>
          <w:p>
            <w:pPr>
              <w:spacing w:after="20"/>
            </w:pPr>
            <w:r>
              <w:rPr>
                <w:rFonts w:ascii="Aptos" w:hAnsi="Aptos"/>
                <w:b w:val="0"/>
                <w:color w:val="263B4B"/>
                <w:sz w:val="16"/>
              </w:rPr>
              <w:t>1 / 0</w:t>
            </w:r>
          </w:p>
        </w:tc>
        <w:tc>
          <w:tcPr>
            <w:tcW w:type="dxa" w:w="5400"/>
            <w:vAlign w:val="center"/>
          </w:tcPr>
          <w:p>
            <w:pPr>
              <w:spacing w:after="20"/>
            </w:pPr>
            <w:r>
              <w:rPr>
                <w:rFonts w:ascii="Aptos" w:hAnsi="Aptos"/>
                <w:b w:val="0"/>
                <w:color w:val="263B4B"/>
                <w:sz w:val="16"/>
              </w:rPr>
              <w:t>Synthetic XLSX delivery; not production reliability estimate.</w:t>
            </w:r>
          </w:p>
        </w:tc>
      </w:tr>
      <w:tr>
        <w:tc>
          <w:tcPr>
            <w:tcW w:type="dxa" w:w="2664"/>
            <w:vAlign w:val="center"/>
            <w:shd w:fill="EFF5F7"/>
          </w:tcPr>
          <w:p>
            <w:pPr>
              <w:spacing w:after="20"/>
            </w:pPr>
            <w:r>
              <w:rPr>
                <w:rFonts w:ascii="Aptos" w:hAnsi="Aptos"/>
                <w:b w:val="0"/>
                <w:color w:val="263B4B"/>
                <w:sz w:val="16"/>
              </w:rPr>
              <w:t>Pre-Gemini blocked messages</w:t>
            </w:r>
          </w:p>
        </w:tc>
        <w:tc>
          <w:tcPr>
            <w:tcW w:type="dxa" w:w="1728"/>
            <w:vAlign w:val="center"/>
            <w:shd w:fill="EFF5F7"/>
          </w:tcPr>
          <w:p>
            <w:pPr>
              <w:spacing w:after="20"/>
            </w:pPr>
            <w:r>
              <w:rPr>
                <w:rFonts w:ascii="Aptos" w:hAnsi="Aptos"/>
                <w:b w:val="0"/>
                <w:color w:val="263B4B"/>
                <w:sz w:val="16"/>
              </w:rPr>
              <w:t>0 in snapshot</w:t>
            </w:r>
          </w:p>
        </w:tc>
        <w:tc>
          <w:tcPr>
            <w:tcW w:type="dxa" w:w="5400"/>
            <w:vAlign w:val="center"/>
            <w:shd w:fill="EFF5F7"/>
          </w:tcPr>
          <w:p>
            <w:pPr>
              <w:spacing w:after="20"/>
            </w:pPr>
            <w:r>
              <w:rPr>
                <w:rFonts w:ascii="Aptos" w:hAnsi="Aptos"/>
                <w:b w:val="0"/>
                <w:color w:val="263B4B"/>
                <w:sz w:val="16"/>
              </w:rPr>
              <w:t>Does not imply the PHI gate has zero false negatives.</w:t>
            </w:r>
          </w:p>
        </w:tc>
      </w:tr>
    </w:tbl>
    <w:p>
      <w:pPr>
        <w:spacing w:before="160"/>
      </w:pPr>
      <w:r>
        <w:rPr>
          <w:rFonts w:ascii="Aptos" w:hAnsi="Aptos"/>
          <w:b/>
          <w:color w:val="087C85"/>
          <w:sz w:val="16"/>
        </w:rPr>
        <w:t xml:space="preserve">EVIDENCE STATUS  </w:t>
      </w:r>
      <w:r>
        <w:rPr>
          <w:rFonts w:ascii="Aptos" w:hAnsi="Aptos"/>
          <w:b w:val="0"/>
          <w:color w:val="607181"/>
          <w:sz w:val="16"/>
        </w:rPr>
        <w:t>These values are from one small demonstration snapshot, not a representative benchmark; do not extrapolate statistically.</w:t>
      </w:r>
    </w:p>
    <w:p>
      <w:r>
        <w:br w:type="page"/>
      </w:r>
    </w:p>
    <w:p>
      <w:pPr>
        <w:spacing w:after="20"/>
      </w:pPr>
      <w:r>
        <w:rPr>
          <w:rFonts w:ascii="Aptos" w:hAnsi="Aptos"/>
          <w:b/>
          <w:color w:val="087C85"/>
          <w:sz w:val="16"/>
        </w:rPr>
        <w:t>CHECKPOINT 4 / QUALITY EVIDENCE</w:t>
      </w:r>
    </w:p>
    <w:p>
      <w:pPr>
        <w:pStyle w:val="Title"/>
      </w:pPr>
      <w:r>
        <w:t>Judge, Humans &amp; Safety</w:t>
      </w:r>
    </w:p>
    <w:p>
      <w:pPr>
        <w:spacing w:after="240"/>
      </w:pPr>
      <w:r>
        <w:rPr>
          <w:rFonts w:ascii="Aptos" w:hAnsi="Aptos"/>
          <w:b w:val="0"/>
          <w:color w:val="607181"/>
          <w:sz w:val="18"/>
        </w:rPr>
        <w:t>Compare draft extraction with independent assessment; distinguish model ratings from verified outcomes.</w:t>
      </w:r>
    </w:p>
    <w:p>
      <w:pPr>
        <w:pStyle w:val="Heading1"/>
      </w:pPr>
      <w:r>
        <w:t>4  Five-dimension judge rubric &amp; observed result</w:t>
      </w:r>
    </w:p>
    <w:tbl>
      <w:tblPr>
        <w:tblW w:type="auto" w:w="0"/>
        <w:jc w:val="center"/>
        <w:tblLayout w:type="fixed"/>
        <w:tblLook w:firstColumn="1" w:firstRow="1" w:lastColumn="0" w:lastRow="0" w:noHBand="0" w:noVBand="1" w:val="04A0"/>
      </w:tblPr>
      <w:tblGrid>
        <w:gridCol w:w="3326"/>
        <w:gridCol w:w="3326"/>
        <w:gridCol w:w="3326"/>
      </w:tblGrid>
      <w:tr>
        <w:tc>
          <w:tcPr>
            <w:tcW w:type="dxa" w:w="2448"/>
            <w:shd w:fill="17324D"/>
            <w:vAlign w:val="center"/>
          </w:tcPr>
          <w:p>
            <w:pPr>
              <w:spacing w:after="20"/>
            </w:pPr>
            <w:r>
              <w:rPr>
                <w:rFonts w:ascii="Aptos" w:hAnsi="Aptos"/>
                <w:b/>
                <w:color w:val="FFFFFF"/>
                <w:sz w:val="16"/>
              </w:rPr>
              <w:t>Dimension</w:t>
            </w:r>
          </w:p>
        </w:tc>
        <w:tc>
          <w:tcPr>
            <w:tcW w:type="dxa" w:w="1944"/>
            <w:shd w:fill="17324D"/>
            <w:vAlign w:val="center"/>
          </w:tcPr>
          <w:p>
            <w:pPr>
              <w:spacing w:after="20"/>
            </w:pPr>
            <w:r>
              <w:rPr>
                <w:rFonts w:ascii="Aptos" w:hAnsi="Aptos"/>
                <w:b/>
                <w:color w:val="FFFFFF"/>
                <w:sz w:val="16"/>
              </w:rPr>
              <w:t>Judge</w:t>
            </w:r>
          </w:p>
        </w:tc>
        <w:tc>
          <w:tcPr>
            <w:tcW w:type="dxa" w:w="5400"/>
            <w:shd w:fill="17324D"/>
            <w:vAlign w:val="center"/>
          </w:tcPr>
          <w:p>
            <w:pPr>
              <w:spacing w:after="20"/>
            </w:pPr>
            <w:r>
              <w:rPr>
                <w:rFonts w:ascii="Aptos" w:hAnsi="Aptos"/>
                <w:b/>
                <w:color w:val="FFFFFF"/>
                <w:sz w:val="16"/>
              </w:rPr>
              <w:t>Evidence interpretation</w:t>
            </w:r>
          </w:p>
        </w:tc>
      </w:tr>
      <w:tr>
        <w:tc>
          <w:tcPr>
            <w:tcW w:type="dxa" w:w="2448"/>
            <w:vAlign w:val="center"/>
            <w:shd w:fill="EFF5F7"/>
          </w:tcPr>
          <w:p>
            <w:pPr>
              <w:spacing w:after="20"/>
            </w:pPr>
            <w:r>
              <w:rPr>
                <w:rFonts w:ascii="Aptos" w:hAnsi="Aptos"/>
                <w:b w:val="0"/>
                <w:color w:val="263B4B"/>
                <w:sz w:val="16"/>
              </w:rPr>
              <w:t>Factual accuracy</w:t>
            </w:r>
          </w:p>
        </w:tc>
        <w:tc>
          <w:tcPr>
            <w:tcW w:type="dxa" w:w="1944"/>
            <w:vAlign w:val="center"/>
            <w:shd w:fill="EFF5F7"/>
          </w:tcPr>
          <w:p>
            <w:pPr>
              <w:spacing w:after="20"/>
            </w:pPr>
            <w:r>
              <w:rPr>
                <w:rFonts w:ascii="Aptos" w:hAnsi="Aptos"/>
                <w:b w:val="0"/>
                <w:color w:val="263B4B"/>
                <w:sz w:val="16"/>
              </w:rPr>
              <w:t>5/5</w:t>
            </w:r>
          </w:p>
        </w:tc>
        <w:tc>
          <w:tcPr>
            <w:tcW w:type="dxa" w:w="5400"/>
            <w:vAlign w:val="center"/>
            <w:shd w:fill="EFF5F7"/>
          </w:tcPr>
          <w:p>
            <w:pPr>
              <w:spacing w:after="20"/>
            </w:pPr>
            <w:r>
              <w:rPr>
                <w:rFonts w:ascii="Aptos" w:hAnsi="Aptos"/>
                <w:b w:val="0"/>
                <w:color w:val="263B4B"/>
                <w:sz w:val="16"/>
              </w:rPr>
              <w:t>Recorded Age 52 and withheld unsupported HbA1c pre-correction.</w:t>
            </w:r>
          </w:p>
        </w:tc>
      </w:tr>
      <w:tr>
        <w:tc>
          <w:tcPr>
            <w:tcW w:type="dxa" w:w="2448"/>
            <w:vAlign w:val="center"/>
          </w:tcPr>
          <w:p>
            <w:pPr>
              <w:spacing w:after="20"/>
            </w:pPr>
            <w:r>
              <w:rPr>
                <w:rFonts w:ascii="Aptos" w:hAnsi="Aptos"/>
                <w:b w:val="0"/>
                <w:color w:val="263B4B"/>
                <w:sz w:val="16"/>
              </w:rPr>
              <w:t>Groundedness</w:t>
            </w:r>
          </w:p>
        </w:tc>
        <w:tc>
          <w:tcPr>
            <w:tcW w:type="dxa" w:w="1944"/>
            <w:vAlign w:val="center"/>
          </w:tcPr>
          <w:p>
            <w:pPr>
              <w:spacing w:after="20"/>
            </w:pPr>
            <w:r>
              <w:rPr>
                <w:rFonts w:ascii="Aptos" w:hAnsi="Aptos"/>
                <w:b w:val="0"/>
                <w:color w:val="263B4B"/>
                <w:sz w:val="16"/>
              </w:rPr>
              <w:t>5/5</w:t>
            </w:r>
          </w:p>
        </w:tc>
        <w:tc>
          <w:tcPr>
            <w:tcW w:type="dxa" w:w="5400"/>
            <w:vAlign w:val="center"/>
          </w:tcPr>
          <w:p>
            <w:pPr>
              <w:spacing w:after="20"/>
            </w:pPr>
            <w:r>
              <w:rPr>
                <w:rFonts w:ascii="Aptos" w:hAnsi="Aptos"/>
                <w:b w:val="0"/>
                <w:color w:val="263B4B"/>
                <w:sz w:val="16"/>
              </w:rPr>
              <w:t>Draft relied on transcript evidence; mismatched name was not silently accepted.</w:t>
            </w:r>
          </w:p>
        </w:tc>
      </w:tr>
      <w:tr>
        <w:tc>
          <w:tcPr>
            <w:tcW w:type="dxa" w:w="2448"/>
            <w:vAlign w:val="center"/>
            <w:shd w:fill="EFF5F7"/>
          </w:tcPr>
          <w:p>
            <w:pPr>
              <w:spacing w:after="20"/>
            </w:pPr>
            <w:r>
              <w:rPr>
                <w:rFonts w:ascii="Aptos" w:hAnsi="Aptos"/>
                <w:b w:val="0"/>
                <w:color w:val="263B4B"/>
                <w:sz w:val="16"/>
              </w:rPr>
              <w:t>Safety compliance</w:t>
            </w:r>
          </w:p>
        </w:tc>
        <w:tc>
          <w:tcPr>
            <w:tcW w:type="dxa" w:w="1944"/>
            <w:vAlign w:val="center"/>
            <w:shd w:fill="EFF5F7"/>
          </w:tcPr>
          <w:p>
            <w:pPr>
              <w:spacing w:after="20"/>
            </w:pPr>
            <w:r>
              <w:rPr>
                <w:rFonts w:ascii="Aptos" w:hAnsi="Aptos"/>
                <w:b w:val="0"/>
                <w:color w:val="263B4B"/>
                <w:sz w:val="16"/>
              </w:rPr>
              <w:t>5/5</w:t>
            </w:r>
          </w:p>
        </w:tc>
        <w:tc>
          <w:tcPr>
            <w:tcW w:type="dxa" w:w="5400"/>
            <w:vAlign w:val="center"/>
            <w:shd w:fill="EFF5F7"/>
          </w:tcPr>
          <w:p>
            <w:pPr>
              <w:spacing w:after="20"/>
            </w:pPr>
            <w:r>
              <w:rPr>
                <w:rFonts w:ascii="Aptos" w:hAnsi="Aptos"/>
                <w:b w:val="0"/>
                <w:color w:val="263B4B"/>
                <w:sz w:val="16"/>
              </w:rPr>
              <w:t>No unsafe advice/disclosure observed in this specific sample.</w:t>
            </w:r>
          </w:p>
        </w:tc>
      </w:tr>
      <w:tr>
        <w:tc>
          <w:tcPr>
            <w:tcW w:type="dxa" w:w="2448"/>
            <w:vAlign w:val="center"/>
          </w:tcPr>
          <w:p>
            <w:pPr>
              <w:spacing w:after="20"/>
            </w:pPr>
            <w:r>
              <w:rPr>
                <w:rFonts w:ascii="Aptos" w:hAnsi="Aptos"/>
                <w:b w:val="0"/>
                <w:color w:val="263B4B"/>
                <w:sz w:val="16"/>
              </w:rPr>
              <w:t>Format adherence</w:t>
            </w:r>
          </w:p>
        </w:tc>
        <w:tc>
          <w:tcPr>
            <w:tcW w:type="dxa" w:w="1944"/>
            <w:vAlign w:val="center"/>
          </w:tcPr>
          <w:p>
            <w:pPr>
              <w:spacing w:after="20"/>
            </w:pPr>
            <w:r>
              <w:rPr>
                <w:rFonts w:ascii="Aptos" w:hAnsi="Aptos"/>
                <w:b w:val="0"/>
                <w:color w:val="263B4B"/>
                <w:sz w:val="16"/>
              </w:rPr>
              <w:t>3/5</w:t>
            </w:r>
          </w:p>
        </w:tc>
        <w:tc>
          <w:tcPr>
            <w:tcW w:type="dxa" w:w="5400"/>
            <w:vAlign w:val="center"/>
          </w:tcPr>
          <w:p>
            <w:pPr>
              <w:spacing w:after="20"/>
            </w:pPr>
            <w:r>
              <w:rPr>
                <w:rFonts w:ascii="Aptos" w:hAnsi="Aptos"/>
                <w:b w:val="0"/>
                <w:color w:val="263B4B"/>
                <w:sz w:val="16"/>
              </w:rPr>
              <w:t>One required schema variable unresolved due to HCBA1C/HbA1c mismatch.</w:t>
            </w:r>
          </w:p>
        </w:tc>
      </w:tr>
      <w:tr>
        <w:tc>
          <w:tcPr>
            <w:tcW w:type="dxa" w:w="2448"/>
            <w:vAlign w:val="center"/>
            <w:shd w:fill="EFF5F7"/>
          </w:tcPr>
          <w:p>
            <w:pPr>
              <w:spacing w:after="20"/>
            </w:pPr>
            <w:r>
              <w:rPr>
                <w:rFonts w:ascii="Aptos" w:hAnsi="Aptos"/>
                <w:b w:val="0"/>
                <w:color w:val="263B4B"/>
                <w:sz w:val="16"/>
              </w:rPr>
              <w:t>Bias / neutrality</w:t>
            </w:r>
          </w:p>
        </w:tc>
        <w:tc>
          <w:tcPr>
            <w:tcW w:type="dxa" w:w="1944"/>
            <w:vAlign w:val="center"/>
            <w:shd w:fill="EFF5F7"/>
          </w:tcPr>
          <w:p>
            <w:pPr>
              <w:spacing w:after="20"/>
            </w:pPr>
            <w:r>
              <w:rPr>
                <w:rFonts w:ascii="Aptos" w:hAnsi="Aptos"/>
                <w:b w:val="0"/>
                <w:color w:val="263B4B"/>
                <w:sz w:val="16"/>
              </w:rPr>
              <w:t>5/5</w:t>
            </w:r>
          </w:p>
        </w:tc>
        <w:tc>
          <w:tcPr>
            <w:tcW w:type="dxa" w:w="5400"/>
            <w:vAlign w:val="center"/>
            <w:shd w:fill="EFF5F7"/>
          </w:tcPr>
          <w:p>
            <w:pPr>
              <w:spacing w:after="20"/>
            </w:pPr>
            <w:r>
              <w:rPr>
                <w:rFonts w:ascii="Aptos" w:hAnsi="Aptos"/>
                <w:b w:val="0"/>
                <w:color w:val="263B4B"/>
                <w:sz w:val="16"/>
              </w:rPr>
              <w:t>No unwarranted demographic assumption observed in this sample.</w:t>
            </w:r>
          </w:p>
        </w:tc>
      </w:tr>
      <w:tr>
        <w:tc>
          <w:tcPr>
            <w:tcW w:type="dxa" w:w="2448"/>
            <w:vAlign w:val="center"/>
          </w:tcPr>
          <w:p>
            <w:pPr>
              <w:spacing w:after="20"/>
            </w:pPr>
            <w:r>
              <w:rPr>
                <w:rFonts w:ascii="Aptos" w:hAnsi="Aptos"/>
                <w:b w:val="0"/>
                <w:color w:val="263B4B"/>
                <w:sz w:val="16"/>
              </w:rPr>
              <w:t>Overall</w:t>
            </w:r>
          </w:p>
        </w:tc>
        <w:tc>
          <w:tcPr>
            <w:tcW w:type="dxa" w:w="1944"/>
            <w:vAlign w:val="center"/>
          </w:tcPr>
          <w:p>
            <w:pPr>
              <w:spacing w:after="20"/>
            </w:pPr>
            <w:r>
              <w:rPr>
                <w:rFonts w:ascii="Aptos" w:hAnsi="Aptos"/>
                <w:b w:val="0"/>
                <w:color w:val="263B4B"/>
                <w:sz w:val="16"/>
              </w:rPr>
              <w:t>4.6/5; needs_review</w:t>
            </w:r>
          </w:p>
        </w:tc>
        <w:tc>
          <w:tcPr>
            <w:tcW w:type="dxa" w:w="5400"/>
            <w:vAlign w:val="center"/>
          </w:tcPr>
          <w:p>
            <w:pPr>
              <w:spacing w:after="20"/>
            </w:pPr>
            <w:r>
              <w:rPr>
                <w:rFonts w:ascii="Aptos" w:hAnsi="Aptos"/>
                <w:b w:val="0"/>
                <w:color w:val="263B4B"/>
                <w:sz w:val="16"/>
              </w:rPr>
              <w:t>Soft alert triggered; user manually corrected later.</w:t>
            </w:r>
          </w:p>
        </w:tc>
      </w:tr>
    </w:tbl>
    <w:p>
      <w:pPr>
        <w:pStyle w:val="Heading1"/>
      </w:pPr>
      <w:r>
        <w:t>5  Human calibration — NOT YET PERFORMED</w:t>
      </w:r>
    </w:p>
    <w:p>
      <w:r>
        <w:rPr>
          <w:rFonts w:ascii="Aptos" w:hAnsi="Aptos"/>
          <w:b w:val="0"/>
          <w:color w:val="263B4B"/>
          <w:sz w:val="18"/>
        </w:rPr>
        <w:t>Two non-developer team reviewers must score the SAME FROZEN AI outputs with the same 1–5 rubric, independently. Compare each of five dimensions with the judge, document disagreements and update the rubric when appropriate. The companion workbook contains blank human-input cells and formula-driven agreement. Do not reuse the 5/5 AI scores as human ratings.</w:t>
      </w:r>
    </w:p>
    <w:p>
      <w:pPr>
        <w:pStyle w:val="Heading1"/>
      </w:pPr>
      <w:r>
        <w:t>6  Safety gates and escalation</w:t>
      </w:r>
    </w:p>
    <w:tbl>
      <w:tblPr>
        <w:tblW w:type="auto" w:w="0"/>
        <w:jc w:val="center"/>
        <w:tblLayout w:type="fixed"/>
        <w:tblLook w:firstColumn="1" w:firstRow="1" w:lastColumn="0" w:lastRow="0" w:noHBand="0" w:noVBand="1" w:val="04A0"/>
      </w:tblPr>
      <w:tblGrid>
        <w:gridCol w:w="3326"/>
        <w:gridCol w:w="3326"/>
        <w:gridCol w:w="3326"/>
      </w:tblGrid>
      <w:tr>
        <w:tc>
          <w:tcPr>
            <w:tcW w:type="dxa" w:w="2059"/>
            <w:shd w:fill="17324D"/>
            <w:vAlign w:val="center"/>
          </w:tcPr>
          <w:p>
            <w:pPr>
              <w:spacing w:after="20"/>
            </w:pPr>
            <w:r>
              <w:rPr>
                <w:rFonts w:ascii="Aptos" w:hAnsi="Aptos"/>
                <w:b/>
                <w:color w:val="FFFFFF"/>
                <w:sz w:val="16"/>
              </w:rPr>
              <w:t>Stage</w:t>
            </w:r>
          </w:p>
        </w:tc>
        <w:tc>
          <w:tcPr>
            <w:tcW w:type="dxa" w:w="4378"/>
            <w:shd w:fill="17324D"/>
            <w:vAlign w:val="center"/>
          </w:tcPr>
          <w:p>
            <w:pPr>
              <w:spacing w:after="20"/>
            </w:pPr>
            <w:r>
              <w:rPr>
                <w:rFonts w:ascii="Aptos" w:hAnsi="Aptos"/>
                <w:b/>
                <w:color w:val="FFFFFF"/>
                <w:sz w:val="16"/>
              </w:rPr>
              <w:t>Current rule</w:t>
            </w:r>
          </w:p>
        </w:tc>
        <w:tc>
          <w:tcPr>
            <w:tcW w:type="dxa" w:w="3355"/>
            <w:shd w:fill="17324D"/>
            <w:vAlign w:val="center"/>
          </w:tcPr>
          <w:p>
            <w:pPr>
              <w:spacing w:after="20"/>
            </w:pPr>
            <w:r>
              <w:rPr>
                <w:rFonts w:ascii="Aptos" w:hAnsi="Aptos"/>
                <w:b/>
                <w:color w:val="FFFFFF"/>
                <w:sz w:val="16"/>
              </w:rPr>
              <w:t>Residual risk</w:t>
            </w:r>
          </w:p>
        </w:tc>
      </w:tr>
      <w:tr>
        <w:tc>
          <w:tcPr>
            <w:tcW w:type="dxa" w:w="2059"/>
            <w:vAlign w:val="center"/>
            <w:shd w:fill="EFF5F7"/>
          </w:tcPr>
          <w:p>
            <w:pPr>
              <w:spacing w:after="20"/>
            </w:pPr>
            <w:r>
              <w:rPr>
                <w:rFonts w:ascii="Aptos" w:hAnsi="Aptos"/>
                <w:b w:val="0"/>
                <w:color w:val="263B4B"/>
                <w:sz w:val="16"/>
              </w:rPr>
              <w:t>Before Gemini on typed input</w:t>
            </w:r>
          </w:p>
        </w:tc>
        <w:tc>
          <w:tcPr>
            <w:tcW w:type="dxa" w:w="4378"/>
            <w:vAlign w:val="center"/>
            <w:shd w:fill="EFF5F7"/>
          </w:tcPr>
          <w:p>
            <w:pPr>
              <w:spacing w:after="20"/>
            </w:pPr>
            <w:r>
              <w:rPr>
                <w:rFonts w:ascii="Aptos" w:hAnsi="Aptos"/>
                <w:b w:val="0"/>
                <w:color w:val="263B4B"/>
                <w:sz w:val="16"/>
              </w:rPr>
              <w:t>Best-effort regex screens identifiers, instruction attempts and care requests.</w:t>
            </w:r>
          </w:p>
        </w:tc>
        <w:tc>
          <w:tcPr>
            <w:tcW w:type="dxa" w:w="3355"/>
            <w:vAlign w:val="center"/>
            <w:shd w:fill="EFF5F7"/>
          </w:tcPr>
          <w:p>
            <w:pPr>
              <w:spacing w:after="20"/>
            </w:pPr>
            <w:r>
              <w:rPr>
                <w:rFonts w:ascii="Aptos" w:hAnsi="Aptos"/>
                <w:b w:val="0"/>
                <w:color w:val="263B4B"/>
                <w:sz w:val="16"/>
              </w:rPr>
              <w:t>False negatives possible; Telegram already received message.</w:t>
            </w:r>
          </w:p>
        </w:tc>
      </w:tr>
      <w:tr>
        <w:tc>
          <w:tcPr>
            <w:tcW w:type="dxa" w:w="2059"/>
            <w:vAlign w:val="center"/>
          </w:tcPr>
          <w:p>
            <w:pPr>
              <w:spacing w:after="20"/>
            </w:pPr>
            <w:r>
              <w:rPr>
                <w:rFonts w:ascii="Aptos" w:hAnsi="Aptos"/>
                <w:b w:val="0"/>
                <w:color w:val="263B4B"/>
                <w:sz w:val="16"/>
              </w:rPr>
              <w:t>Voice</w:t>
            </w:r>
          </w:p>
        </w:tc>
        <w:tc>
          <w:tcPr>
            <w:tcW w:type="dxa" w:w="4378"/>
            <w:vAlign w:val="center"/>
          </w:tcPr>
          <w:p>
            <w:pPr>
              <w:spacing w:after="20"/>
            </w:pPr>
            <w:r>
              <w:rPr>
                <w:rFonts w:ascii="Aptos" w:hAnsi="Aptos"/>
                <w:b w:val="0"/>
                <w:color w:val="263B4B"/>
                <w:sz w:val="16"/>
              </w:rPr>
              <w:t>/voiceon acknowledgment; external Groq transcription; transcript screened before Gemini.</w:t>
            </w:r>
          </w:p>
        </w:tc>
        <w:tc>
          <w:tcPr>
            <w:tcW w:type="dxa" w:w="3355"/>
            <w:vAlign w:val="center"/>
          </w:tcPr>
          <w:p>
            <w:pPr>
              <w:spacing w:after="20"/>
            </w:pPr>
            <w:r>
              <w:rPr>
                <w:rFonts w:ascii="Aptos" w:hAnsi="Aptos"/>
                <w:b w:val="0"/>
                <w:color w:val="263B4B"/>
                <w:sz w:val="16"/>
              </w:rPr>
              <w:t>Audio reaches Groq before text can be screened.</w:t>
            </w:r>
          </w:p>
        </w:tc>
      </w:tr>
      <w:tr>
        <w:tc>
          <w:tcPr>
            <w:tcW w:type="dxa" w:w="2059"/>
            <w:vAlign w:val="center"/>
            <w:shd w:fill="EFF5F7"/>
          </w:tcPr>
          <w:p>
            <w:pPr>
              <w:spacing w:after="20"/>
            </w:pPr>
            <w:r>
              <w:rPr>
                <w:rFonts w:ascii="Aptos" w:hAnsi="Aptos"/>
                <w:b w:val="0"/>
                <w:color w:val="263B4B"/>
                <w:sz w:val="16"/>
              </w:rPr>
              <w:t>AI output / review</w:t>
            </w:r>
          </w:p>
        </w:tc>
        <w:tc>
          <w:tcPr>
            <w:tcW w:type="dxa" w:w="4378"/>
            <w:vAlign w:val="center"/>
            <w:shd w:fill="EFF5F7"/>
          </w:tcPr>
          <w:p>
            <w:pPr>
              <w:spacing w:after="20"/>
            </w:pPr>
            <w:r>
              <w:rPr>
                <w:rFonts w:ascii="Aptos" w:hAnsi="Aptos"/>
                <w:b w:val="0"/>
                <w:color w:val="263B4B"/>
                <w:sz w:val="16"/>
              </w:rPr>
              <w:t>Schema names, evidence, types and missing fields checked; researcher confirms.</w:t>
            </w:r>
          </w:p>
        </w:tc>
        <w:tc>
          <w:tcPr>
            <w:tcW w:type="dxa" w:w="3355"/>
            <w:vAlign w:val="center"/>
            <w:shd w:fill="EFF5F7"/>
          </w:tcPr>
          <w:p>
            <w:pPr>
              <w:spacing w:after="20"/>
            </w:pPr>
            <w:r>
              <w:rPr>
                <w:rFonts w:ascii="Aptos" w:hAnsi="Aptos"/>
                <w:b w:val="0"/>
                <w:color w:val="263B4B"/>
                <w:sz w:val="16"/>
              </w:rPr>
              <w:t>Not a medical validation or trusted source database.</w:t>
            </w:r>
          </w:p>
        </w:tc>
      </w:tr>
      <w:tr>
        <w:tc>
          <w:tcPr>
            <w:tcW w:type="dxa" w:w="2059"/>
            <w:vAlign w:val="center"/>
          </w:tcPr>
          <w:p>
            <w:pPr>
              <w:spacing w:after="20"/>
            </w:pPr>
            <w:r>
              <w:rPr>
                <w:rFonts w:ascii="Aptos" w:hAnsi="Aptos"/>
                <w:b w:val="0"/>
                <w:color w:val="263B4B"/>
                <w:sz w:val="16"/>
              </w:rPr>
              <w:t>Independent judge</w:t>
            </w:r>
          </w:p>
        </w:tc>
        <w:tc>
          <w:tcPr>
            <w:tcW w:type="dxa" w:w="4378"/>
            <w:vAlign w:val="center"/>
          </w:tcPr>
          <w:p>
            <w:pPr>
              <w:spacing w:after="20"/>
            </w:pPr>
            <w:r>
              <w:rPr>
                <w:rFonts w:ascii="Aptos" w:hAnsi="Aptos"/>
                <w:b w:val="0"/>
                <w:color w:val="263B4B"/>
                <w:sz w:val="16"/>
              </w:rPr>
              <w:t>Hard hold if safety or factual score &lt;=2 or critical flag; /redo for reassessment.</w:t>
            </w:r>
          </w:p>
        </w:tc>
        <w:tc>
          <w:tcPr>
            <w:tcW w:type="dxa" w:w="3355"/>
            <w:vAlign w:val="center"/>
          </w:tcPr>
          <w:p>
            <w:pPr>
              <w:spacing w:after="20"/>
            </w:pPr>
            <w:r>
              <w:rPr>
                <w:rFonts w:ascii="Aptos" w:hAnsi="Aptos"/>
                <w:b w:val="0"/>
                <w:color w:val="263B4B"/>
                <w:sz w:val="16"/>
              </w:rPr>
              <w:t>Uncalibrated model rating; live hard-hold test not recorded.</w:t>
            </w:r>
          </w:p>
        </w:tc>
      </w:tr>
      <w:tr>
        <w:tc>
          <w:tcPr>
            <w:tcW w:type="dxa" w:w="2059"/>
            <w:vAlign w:val="center"/>
            <w:shd w:fill="EFF5F7"/>
          </w:tcPr>
          <w:p>
            <w:pPr>
              <w:spacing w:after="20"/>
            </w:pPr>
            <w:r>
              <w:rPr>
                <w:rFonts w:ascii="Aptos" w:hAnsi="Aptos"/>
                <w:b w:val="0"/>
                <w:color w:val="263B4B"/>
                <w:sz w:val="16"/>
              </w:rPr>
              <w:t>Export</w:t>
            </w:r>
          </w:p>
        </w:tc>
        <w:tc>
          <w:tcPr>
            <w:tcW w:type="dxa" w:w="4378"/>
            <w:vAlign w:val="center"/>
            <w:shd w:fill="EFF5F7"/>
          </w:tcPr>
          <w:p>
            <w:pPr>
              <w:spacing w:after="20"/>
            </w:pPr>
            <w:r>
              <w:rPr>
                <w:rFonts w:ascii="Aptos" w:hAnsi="Aptos"/>
                <w:b w:val="0"/>
                <w:color w:val="263B4B"/>
                <w:sz w:val="16"/>
              </w:rPr>
              <w:t>Only explicit human approval; unresolved issues/missing values governed by guards.</w:t>
            </w:r>
          </w:p>
        </w:tc>
        <w:tc>
          <w:tcPr>
            <w:tcW w:type="dxa" w:w="3355"/>
            <w:vAlign w:val="center"/>
            <w:shd w:fill="EFF5F7"/>
          </w:tcPr>
          <w:p>
            <w:pPr>
              <w:spacing w:after="20"/>
            </w:pPr>
            <w:r>
              <w:rPr>
                <w:rFonts w:ascii="Aptos" w:hAnsi="Aptos"/>
                <w:b w:val="0"/>
                <w:color w:val="263B4B"/>
                <w:sz w:val="16"/>
              </w:rPr>
              <w:t>Static data non-transactional; potential concurrency concerns.</w:t>
            </w:r>
          </w:p>
        </w:tc>
      </w:tr>
    </w:tbl>
    <w:p>
      <w:pPr>
        <w:pStyle w:val="Heading1"/>
      </w:pPr>
      <w:r>
        <w:t>7  LangSmith trace coverage</w:t>
      </w:r>
    </w:p>
    <w:p>
      <w:r>
        <w:rPr>
          <w:rFonts w:ascii="Aptos" w:hAnsi="Aptos"/>
          <w:b w:val="0"/>
          <w:color w:val="263B4B"/>
          <w:sz w:val="18"/>
        </w:rPr>
        <w:t>Project: ResearchVoice-AI-Graduation. HTTP API returned “Run created”; user inspected stored scores. The trace captures the post-extraction QA checkpoint, aggregate counts, five judge scores and alert metadata. It does NOT yet create an individual trace for every intake, Groq, Gemini, correction or final export. This is a documented deviation from the guideline phrase “trace every step”, not a completed requirement.</w:t>
      </w:r>
    </w:p>
    <w:p>
      <w:r>
        <w:br w:type="page"/>
      </w:r>
    </w:p>
    <w:p>
      <w:pPr>
        <w:spacing w:after="20"/>
      </w:pPr>
      <w:r>
        <w:rPr>
          <w:rFonts w:ascii="Aptos" w:hAnsi="Aptos"/>
          <w:b/>
          <w:color w:val="087C85"/>
          <w:sz w:val="16"/>
        </w:rPr>
        <w:t>CHECKPOINT 4 / PROJECT VALUE</w:t>
      </w:r>
    </w:p>
    <w:p>
      <w:pPr>
        <w:pStyle w:val="Title"/>
      </w:pPr>
      <w:r>
        <w:t>KPIs and Monitoring</w:t>
      </w:r>
    </w:p>
    <w:p>
      <w:pPr>
        <w:spacing w:after="240"/>
      </w:pPr>
      <w:r>
        <w:rPr>
          <w:rFonts w:ascii="Aptos" w:hAnsi="Aptos"/>
          <w:b w:val="0"/>
          <w:color w:val="607181"/>
          <w:sz w:val="18"/>
        </w:rPr>
        <w:t>Use actual measured values; preserve blank actuals until collected from synthetic study trials.</w:t>
      </w:r>
    </w:p>
    <w:p>
      <w:pPr>
        <w:pStyle w:val="Heading1"/>
      </w:pPr>
      <w:r>
        <w:t>8  KPI status (A4)</w:t>
      </w:r>
    </w:p>
    <w:tbl>
      <w:tblPr>
        <w:tblW w:type="auto" w:w="0"/>
        <w:jc w:val="center"/>
        <w:tblLayout w:type="fixed"/>
        <w:tblLook w:firstColumn="1" w:firstRow="1" w:lastColumn="0" w:lastRow="0" w:noHBand="0" w:noVBand="1" w:val="04A0"/>
      </w:tblPr>
      <w:tblGrid>
        <w:gridCol w:w="3326"/>
        <w:gridCol w:w="3326"/>
        <w:gridCol w:w="3326"/>
      </w:tblGrid>
      <w:tr>
        <w:tc>
          <w:tcPr>
            <w:tcW w:type="dxa" w:w="3427"/>
            <w:shd w:fill="17324D"/>
            <w:vAlign w:val="center"/>
          </w:tcPr>
          <w:p>
            <w:pPr>
              <w:spacing w:after="20"/>
            </w:pPr>
            <w:r>
              <w:rPr>
                <w:rFonts w:ascii="Aptos" w:hAnsi="Aptos"/>
                <w:b/>
                <w:color w:val="FFFFFF"/>
                <w:sz w:val="16"/>
              </w:rPr>
              <w:t>KPI</w:t>
            </w:r>
          </w:p>
        </w:tc>
        <w:tc>
          <w:tcPr>
            <w:tcW w:type="dxa" w:w="3427"/>
            <w:shd w:fill="17324D"/>
            <w:vAlign w:val="center"/>
          </w:tcPr>
          <w:p>
            <w:pPr>
              <w:spacing w:after="20"/>
            </w:pPr>
            <w:r>
              <w:rPr>
                <w:rFonts w:ascii="Aptos" w:hAnsi="Aptos"/>
                <w:b/>
                <w:color w:val="FFFFFF"/>
                <w:sz w:val="16"/>
              </w:rPr>
              <w:t>Proposed baseline → target</w:t>
            </w:r>
          </w:p>
        </w:tc>
        <w:tc>
          <w:tcPr>
            <w:tcW w:type="dxa" w:w="2938"/>
            <w:shd w:fill="17324D"/>
            <w:vAlign w:val="center"/>
          </w:tcPr>
          <w:p>
            <w:pPr>
              <w:spacing w:after="20"/>
            </w:pPr>
            <w:r>
              <w:rPr>
                <w:rFonts w:ascii="Aptos" w:hAnsi="Aptos"/>
                <w:b/>
                <w:color w:val="FFFFFF"/>
                <w:sz w:val="16"/>
              </w:rPr>
              <w:t>Actual (to measure)</w:t>
            </w:r>
          </w:p>
        </w:tc>
      </w:tr>
      <w:tr>
        <w:tc>
          <w:tcPr>
            <w:tcW w:type="dxa" w:w="3427"/>
            <w:vAlign w:val="center"/>
            <w:shd w:fill="EFF5F7"/>
          </w:tcPr>
          <w:p>
            <w:pPr>
              <w:spacing w:after="20"/>
            </w:pPr>
            <w:r>
              <w:rPr>
                <w:rFonts w:ascii="Aptos" w:hAnsi="Aptos"/>
                <w:b w:val="0"/>
                <w:color w:val="263B4B"/>
                <w:sz w:val="16"/>
              </w:rPr>
              <w:t>Data entry time / visit</w:t>
            </w:r>
          </w:p>
        </w:tc>
        <w:tc>
          <w:tcPr>
            <w:tcW w:type="dxa" w:w="3427"/>
            <w:vAlign w:val="center"/>
            <w:shd w:fill="EFF5F7"/>
          </w:tcPr>
          <w:p>
            <w:pPr>
              <w:spacing w:after="20"/>
            </w:pPr>
            <w:r>
              <w:rPr>
                <w:rFonts w:ascii="Aptos" w:hAnsi="Aptos"/>
                <w:b w:val="0"/>
                <w:color w:val="263B4B"/>
                <w:sz w:val="16"/>
              </w:rPr>
              <w:t>8 min estimate → &lt;=5 min</w:t>
            </w:r>
          </w:p>
        </w:tc>
        <w:tc>
          <w:tcPr>
            <w:tcW w:type="dxa" w:w="2938"/>
            <w:vAlign w:val="center"/>
            <w:shd w:fill="EFF5F7"/>
          </w:tcPr>
          <w:p>
            <w:pPr>
              <w:spacing w:after="20"/>
            </w:pPr>
            <w:r>
              <w:rPr>
                <w:rFonts w:ascii="Aptos" w:hAnsi="Aptos"/>
                <w:b w:val="0"/>
                <w:color w:val="263B4B"/>
                <w:sz w:val="16"/>
              </w:rPr>
              <w:t>NOT MEASURED</w:t>
            </w:r>
          </w:p>
        </w:tc>
      </w:tr>
      <w:tr>
        <w:tc>
          <w:tcPr>
            <w:tcW w:type="dxa" w:w="3427"/>
            <w:vAlign w:val="center"/>
          </w:tcPr>
          <w:p>
            <w:pPr>
              <w:spacing w:after="20"/>
            </w:pPr>
            <w:r>
              <w:rPr>
                <w:rFonts w:ascii="Aptos" w:hAnsi="Aptos"/>
                <w:b w:val="0"/>
                <w:color w:val="263B4B"/>
                <w:sz w:val="16"/>
              </w:rPr>
              <w:t>Field-level extraction agreement</w:t>
            </w:r>
          </w:p>
        </w:tc>
        <w:tc>
          <w:tcPr>
            <w:tcW w:type="dxa" w:w="3427"/>
            <w:vAlign w:val="center"/>
          </w:tcPr>
          <w:p>
            <w:pPr>
              <w:spacing w:after="20"/>
            </w:pPr>
            <w:r>
              <w:rPr>
                <w:rFonts w:ascii="Aptos" w:hAnsi="Aptos"/>
                <w:b w:val="0"/>
                <w:color w:val="263B4B"/>
                <w:sz w:val="16"/>
              </w:rPr>
              <w:t>To establish → &gt;=95%</w:t>
            </w:r>
          </w:p>
        </w:tc>
        <w:tc>
          <w:tcPr>
            <w:tcW w:type="dxa" w:w="2938"/>
            <w:vAlign w:val="center"/>
          </w:tcPr>
          <w:p>
            <w:pPr>
              <w:spacing w:after="20"/>
            </w:pPr>
            <w:r>
              <w:rPr>
                <w:rFonts w:ascii="Aptos" w:hAnsi="Aptos"/>
                <w:b w:val="0"/>
                <w:color w:val="263B4B"/>
                <w:sz w:val="16"/>
              </w:rPr>
              <w:t>NOT MEASURED</w:t>
            </w:r>
          </w:p>
        </w:tc>
      </w:tr>
      <w:tr>
        <w:tc>
          <w:tcPr>
            <w:tcW w:type="dxa" w:w="3427"/>
            <w:vAlign w:val="center"/>
            <w:shd w:fill="EFF5F7"/>
          </w:tcPr>
          <w:p>
            <w:pPr>
              <w:spacing w:after="20"/>
            </w:pPr>
            <w:r>
              <w:rPr>
                <w:rFonts w:ascii="Aptos" w:hAnsi="Aptos"/>
                <w:b w:val="0"/>
                <w:color w:val="263B4B"/>
                <w:sz w:val="16"/>
              </w:rPr>
              <w:t>Manual correction rate</w:t>
            </w:r>
          </w:p>
        </w:tc>
        <w:tc>
          <w:tcPr>
            <w:tcW w:type="dxa" w:w="3427"/>
            <w:vAlign w:val="center"/>
            <w:shd w:fill="EFF5F7"/>
          </w:tcPr>
          <w:p>
            <w:pPr>
              <w:spacing w:after="20"/>
            </w:pPr>
            <w:r>
              <w:rPr>
                <w:rFonts w:ascii="Aptos" w:hAnsi="Aptos"/>
                <w:b w:val="0"/>
                <w:color w:val="263B4B"/>
                <w:sz w:val="16"/>
              </w:rPr>
              <w:t>To establish → &lt;=15%</w:t>
            </w:r>
          </w:p>
        </w:tc>
        <w:tc>
          <w:tcPr>
            <w:tcW w:type="dxa" w:w="2938"/>
            <w:vAlign w:val="center"/>
            <w:shd w:fill="EFF5F7"/>
          </w:tcPr>
          <w:p>
            <w:pPr>
              <w:spacing w:after="20"/>
            </w:pPr>
            <w:r>
              <w:rPr>
                <w:rFonts w:ascii="Aptos" w:hAnsi="Aptos"/>
                <w:b w:val="0"/>
                <w:color w:val="263B4B"/>
                <w:sz w:val="16"/>
              </w:rPr>
              <w:t>NOT MEASURED</w:t>
            </w:r>
          </w:p>
        </w:tc>
      </w:tr>
      <w:tr>
        <w:tc>
          <w:tcPr>
            <w:tcW w:type="dxa" w:w="3427"/>
            <w:vAlign w:val="center"/>
          </w:tcPr>
          <w:p>
            <w:pPr>
              <w:spacing w:after="20"/>
            </w:pPr>
            <w:r>
              <w:rPr>
                <w:rFonts w:ascii="Aptos" w:hAnsi="Aptos"/>
                <w:b w:val="0"/>
                <w:color w:val="263B4B"/>
                <w:sz w:val="16"/>
              </w:rPr>
              <w:t>Successful approved XLSX delivery</w:t>
            </w:r>
          </w:p>
        </w:tc>
        <w:tc>
          <w:tcPr>
            <w:tcW w:type="dxa" w:w="3427"/>
            <w:vAlign w:val="center"/>
          </w:tcPr>
          <w:p>
            <w:pPr>
              <w:spacing w:after="20"/>
            </w:pPr>
            <w:r>
              <w:rPr>
                <w:rFonts w:ascii="Aptos" w:hAnsi="Aptos"/>
                <w:b w:val="0"/>
                <w:color w:val="263B4B"/>
                <w:sz w:val="16"/>
              </w:rPr>
              <w:t>To establish → &gt;=95%</w:t>
            </w:r>
          </w:p>
        </w:tc>
        <w:tc>
          <w:tcPr>
            <w:tcW w:type="dxa" w:w="2938"/>
            <w:vAlign w:val="center"/>
          </w:tcPr>
          <w:p>
            <w:pPr>
              <w:spacing w:after="20"/>
            </w:pPr>
            <w:r>
              <w:rPr>
                <w:rFonts w:ascii="Aptos" w:hAnsi="Aptos"/>
                <w:b w:val="0"/>
                <w:color w:val="263B4B"/>
                <w:sz w:val="16"/>
              </w:rPr>
              <w:t>NOT BENCHMARKED; 1/1 small demo</w:t>
            </w:r>
          </w:p>
        </w:tc>
      </w:tr>
      <w:tr>
        <w:tc>
          <w:tcPr>
            <w:tcW w:type="dxa" w:w="3427"/>
            <w:vAlign w:val="center"/>
            <w:shd w:fill="EFF5F7"/>
          </w:tcPr>
          <w:p>
            <w:pPr>
              <w:spacing w:after="20"/>
            </w:pPr>
            <w:r>
              <w:rPr>
                <w:rFonts w:ascii="Aptos" w:hAnsi="Aptos"/>
                <w:b w:val="0"/>
                <w:color w:val="263B4B"/>
                <w:sz w:val="16"/>
              </w:rPr>
              <w:t>Researcher ease score</w:t>
            </w:r>
          </w:p>
        </w:tc>
        <w:tc>
          <w:tcPr>
            <w:tcW w:type="dxa" w:w="3427"/>
            <w:vAlign w:val="center"/>
            <w:shd w:fill="EFF5F7"/>
          </w:tcPr>
          <w:p>
            <w:pPr>
              <w:spacing w:after="20"/>
            </w:pPr>
            <w:r>
              <w:rPr>
                <w:rFonts w:ascii="Aptos" w:hAnsi="Aptos"/>
                <w:b w:val="0"/>
                <w:color w:val="263B4B"/>
                <w:sz w:val="16"/>
              </w:rPr>
              <w:t>To establish → &gt;=4/5</w:t>
            </w:r>
          </w:p>
        </w:tc>
        <w:tc>
          <w:tcPr>
            <w:tcW w:type="dxa" w:w="2938"/>
            <w:vAlign w:val="center"/>
            <w:shd w:fill="EFF5F7"/>
          </w:tcPr>
          <w:p>
            <w:pPr>
              <w:spacing w:after="20"/>
            </w:pPr>
            <w:r>
              <w:rPr>
                <w:rFonts w:ascii="Aptos" w:hAnsi="Aptos"/>
                <w:b w:val="0"/>
                <w:color w:val="263B4B"/>
                <w:sz w:val="16"/>
              </w:rPr>
              <w:t>NOT MEASURED</w:t>
            </w:r>
          </w:p>
        </w:tc>
      </w:tr>
    </w:tbl>
    <w:p>
      <w:pPr>
        <w:spacing w:before="160"/>
      </w:pPr>
      <w:r>
        <w:rPr>
          <w:rFonts w:ascii="Aptos" w:hAnsi="Aptos"/>
          <w:b/>
          <w:color w:val="087C85"/>
          <w:sz w:val="16"/>
        </w:rPr>
        <w:t xml:space="preserve">EVIDENCE STATUS  </w:t>
      </w:r>
      <w:r>
        <w:rPr>
          <w:rFonts w:ascii="Aptos" w:hAnsi="Aptos"/>
          <w:b w:val="0"/>
          <w:color w:val="607181"/>
          <w:sz w:val="16"/>
        </w:rPr>
        <w:t>The 8-minute baseline, 5-minute target and other targets in Batch 1 were planning assumptions, not research results. Measure or formally label every baseline and actual before submission.</w:t>
      </w:r>
    </w:p>
    <w:p>
      <w:pPr>
        <w:pStyle w:val="Heading1"/>
      </w:pPr>
      <w:r>
        <w:t>9  Monitoring dashboard / alert policy</w:t>
      </w:r>
    </w:p>
    <w:p>
      <w:pPr>
        <w:pStyle w:val="ListBullet"/>
        <w:spacing w:after="40"/>
      </w:pPr>
      <w:r>
        <w:rPr>
          <w:rFonts w:ascii="Aptos" w:hAnsi="Aptos"/>
          <w:b w:val="0"/>
          <w:color w:val="263B4B"/>
          <w:sz w:val="17"/>
        </w:rPr>
        <w:t>/monitor reports rolling 200 evaluation attempts; judge count, pass rate, mean score, p95 judge duration, soft/hard alert counts, safety rejections and Excel deliveries.</w:t>
      </w:r>
    </w:p>
    <w:p>
      <w:pPr>
        <w:pStyle w:val="ListBullet"/>
        <w:spacing w:after="40"/>
      </w:pPr>
      <w:r>
        <w:rPr>
          <w:rFonts w:ascii="Aptos" w:hAnsi="Aptos"/>
          <w:b w:val="0"/>
          <w:color w:val="263B4B"/>
          <w:sz w:val="17"/>
        </w:rPr>
        <w:t>Soft alert: judge failure, any score &lt;=3, unresolved extraction issues, or overall non-pass; notifies the researcher.</w:t>
      </w:r>
    </w:p>
    <w:p>
      <w:pPr>
        <w:pStyle w:val="ListBullet"/>
        <w:spacing w:after="40"/>
      </w:pPr>
      <w:r>
        <w:rPr>
          <w:rFonts w:ascii="Aptos" w:hAnsi="Aptos"/>
          <w:b w:val="0"/>
          <w:color w:val="263B4B"/>
          <w:sz w:val="17"/>
        </w:rPr>
        <w:t>Hard hold: independent judge safety &lt;=2, factual &lt;=2, or critical safety flag; blocks export until /redo and re-evaluation.</w:t>
      </w:r>
    </w:p>
    <w:p>
      <w:pPr>
        <w:pStyle w:val="ListBullet"/>
        <w:spacing w:after="40"/>
      </w:pPr>
      <w:r>
        <w:rPr>
          <w:rFonts w:ascii="Aptos" w:hAnsi="Aptos"/>
          <w:b w:val="0"/>
          <w:color w:val="263B4B"/>
          <w:sz w:val="17"/>
        </w:rPr>
        <w:t>Current monitoring is a Telegram textual summary. The one-page visual KPI dashboard requested by the guideline still needs a presentation-ready capture and actual business KPIs.</w:t>
      </w:r>
    </w:p>
    <w:p>
      <w:pPr>
        <w:pStyle w:val="Heading1"/>
      </w:pPr>
      <w:r>
        <w:t>10  Issue log — A5 condensed</w:t>
      </w:r>
    </w:p>
    <w:tbl>
      <w:tblPr>
        <w:tblW w:type="auto" w:w="0"/>
        <w:jc w:val="center"/>
        <w:tblLayout w:type="fixed"/>
        <w:tblLook w:firstColumn="1" w:firstRow="1" w:lastColumn="0" w:lastRow="0" w:noHBand="0" w:noVBand="1" w:val="04A0"/>
      </w:tblPr>
      <w:tblGrid>
        <w:gridCol w:w="3326"/>
        <w:gridCol w:w="3326"/>
        <w:gridCol w:w="3326"/>
      </w:tblGrid>
      <w:tr>
        <w:tc>
          <w:tcPr>
            <w:tcW w:type="dxa" w:w="1699"/>
            <w:shd w:fill="17324D"/>
            <w:vAlign w:val="center"/>
          </w:tcPr>
          <w:p>
            <w:pPr>
              <w:spacing w:after="20"/>
            </w:pPr>
            <w:r>
              <w:rPr>
                <w:rFonts w:ascii="Aptos" w:hAnsi="Aptos"/>
                <w:b/>
                <w:color w:val="FFFFFF"/>
                <w:sz w:val="16"/>
              </w:rPr>
              <w:t>ID / status</w:t>
            </w:r>
          </w:p>
        </w:tc>
        <w:tc>
          <w:tcPr>
            <w:tcW w:type="dxa" w:w="4104"/>
            <w:shd w:fill="17324D"/>
            <w:vAlign w:val="center"/>
          </w:tcPr>
          <w:p>
            <w:pPr>
              <w:spacing w:after="20"/>
            </w:pPr>
            <w:r>
              <w:rPr>
                <w:rFonts w:ascii="Aptos" w:hAnsi="Aptos"/>
                <w:b/>
                <w:color w:val="FFFFFF"/>
                <w:sz w:val="16"/>
              </w:rPr>
              <w:t>Issue and root cause</w:t>
            </w:r>
          </w:p>
        </w:tc>
        <w:tc>
          <w:tcPr>
            <w:tcW w:type="dxa" w:w="3989"/>
            <w:shd w:fill="17324D"/>
            <w:vAlign w:val="center"/>
          </w:tcPr>
          <w:p>
            <w:pPr>
              <w:spacing w:after="20"/>
            </w:pPr>
            <w:r>
              <w:rPr>
                <w:rFonts w:ascii="Aptos" w:hAnsi="Aptos"/>
                <w:b/>
                <w:color w:val="FFFFFF"/>
                <w:sz w:val="16"/>
              </w:rPr>
              <w:t>Fix / remaining action</w:t>
            </w:r>
          </w:p>
        </w:tc>
      </w:tr>
      <w:tr>
        <w:tc>
          <w:tcPr>
            <w:tcW w:type="dxa" w:w="1699"/>
            <w:vAlign w:val="center"/>
            <w:shd w:fill="EFF5F7"/>
          </w:tcPr>
          <w:p>
            <w:pPr>
              <w:spacing w:after="20"/>
            </w:pPr>
            <w:r>
              <w:rPr>
                <w:rFonts w:ascii="Aptos" w:hAnsi="Aptos"/>
                <w:b w:val="0"/>
                <w:color w:val="263B4B"/>
                <w:sz w:val="16"/>
              </w:rPr>
              <w:t>I01 / Mitigated</w:t>
            </w:r>
          </w:p>
        </w:tc>
        <w:tc>
          <w:tcPr>
            <w:tcW w:type="dxa" w:w="4104"/>
            <w:vAlign w:val="center"/>
            <w:shd w:fill="EFF5F7"/>
          </w:tcPr>
          <w:p>
            <w:pPr>
              <w:spacing w:after="20"/>
            </w:pPr>
            <w:r>
              <w:rPr>
                <w:rFonts w:ascii="Aptos" w:hAnsi="Aptos"/>
                <w:b w:val="0"/>
                <w:color w:val="263B4B"/>
                <w:sz w:val="16"/>
              </w:rPr>
              <w:t>Speech recognized HbA1c as HCBA1C; schema mismatch.</w:t>
            </w:r>
          </w:p>
        </w:tc>
        <w:tc>
          <w:tcPr>
            <w:tcW w:type="dxa" w:w="3989"/>
            <w:vAlign w:val="center"/>
            <w:shd w:fill="EFF5F7"/>
          </w:tcPr>
          <w:p>
            <w:pPr>
              <w:spacing w:after="20"/>
            </w:pPr>
            <w:r>
              <w:rPr>
                <w:rFonts w:ascii="Aptos" w:hAnsi="Aptos"/>
                <w:b w:val="0"/>
                <w:color w:val="263B4B"/>
                <w:sz w:val="16"/>
              </w:rPr>
              <w:t>Flag ambiguous, require manual correction; keep evidence.</w:t>
            </w:r>
          </w:p>
        </w:tc>
      </w:tr>
      <w:tr>
        <w:tc>
          <w:tcPr>
            <w:tcW w:type="dxa" w:w="1699"/>
            <w:vAlign w:val="center"/>
          </w:tcPr>
          <w:p>
            <w:pPr>
              <w:spacing w:after="20"/>
            </w:pPr>
            <w:r>
              <w:rPr>
                <w:rFonts w:ascii="Aptos" w:hAnsi="Aptos"/>
                <w:b w:val="0"/>
                <w:color w:val="263B4B"/>
                <w:sz w:val="16"/>
              </w:rPr>
              <w:t>I02 / Resolved in demo</w:t>
            </w:r>
          </w:p>
        </w:tc>
        <w:tc>
          <w:tcPr>
            <w:tcW w:type="dxa" w:w="4104"/>
            <w:vAlign w:val="center"/>
          </w:tcPr>
          <w:p>
            <w:pPr>
              <w:spacing w:after="20"/>
            </w:pPr>
            <w:r>
              <w:rPr>
                <w:rFonts w:ascii="Aptos" w:hAnsi="Aptos"/>
                <w:b w:val="0"/>
                <w:color w:val="263B4B"/>
                <w:sz w:val="16"/>
              </w:rPr>
              <w:t>Judge model returned invalid/incomplete JSON.</w:t>
            </w:r>
          </w:p>
        </w:tc>
        <w:tc>
          <w:tcPr>
            <w:tcW w:type="dxa" w:w="3989"/>
            <w:vAlign w:val="center"/>
          </w:tcPr>
          <w:p>
            <w:pPr>
              <w:spacing w:after="20"/>
            </w:pPr>
            <w:r>
              <w:rPr>
                <w:rFonts w:ascii="Aptos" w:hAnsi="Aptos"/>
                <w:b w:val="0"/>
                <w:color w:val="263B4B"/>
                <w:sz w:val="16"/>
              </w:rPr>
              <w:t>Structured JSON schema + strict parser; live /eval later succeeded.</w:t>
            </w:r>
          </w:p>
        </w:tc>
      </w:tr>
      <w:tr>
        <w:tc>
          <w:tcPr>
            <w:tcW w:type="dxa" w:w="1699"/>
            <w:vAlign w:val="center"/>
            <w:shd w:fill="EFF5F7"/>
          </w:tcPr>
          <w:p>
            <w:pPr>
              <w:spacing w:after="20"/>
            </w:pPr>
            <w:r>
              <w:rPr>
                <w:rFonts w:ascii="Aptos" w:hAnsi="Aptos"/>
                <w:b w:val="0"/>
                <w:color w:val="263B4B"/>
                <w:sz w:val="16"/>
              </w:rPr>
              <w:t>I03 / Resolved in demo</w:t>
            </w:r>
          </w:p>
        </w:tc>
        <w:tc>
          <w:tcPr>
            <w:tcW w:type="dxa" w:w="4104"/>
            <w:vAlign w:val="center"/>
            <w:shd w:fill="EFF5F7"/>
          </w:tcPr>
          <w:p>
            <w:pPr>
              <w:spacing w:after="20"/>
            </w:pPr>
            <w:r>
              <w:rPr>
                <w:rFonts w:ascii="Aptos" w:hAnsi="Aptos"/>
                <w:b w:val="0"/>
                <w:color w:val="263B4B"/>
                <w:sz w:val="16"/>
              </w:rPr>
              <w:t>Parallel evaluation caused review nonce/button race.</w:t>
            </w:r>
          </w:p>
        </w:tc>
        <w:tc>
          <w:tcPr>
            <w:tcW w:type="dxa" w:w="3989"/>
            <w:vAlign w:val="center"/>
            <w:shd w:fill="EFF5F7"/>
          </w:tcPr>
          <w:p>
            <w:pPr>
              <w:spacing w:after="20"/>
            </w:pPr>
            <w:r>
              <w:rPr>
                <w:rFonts w:ascii="Aptos" w:hAnsi="Aptos"/>
                <w:b w:val="0"/>
                <w:color w:val="263B4B"/>
                <w:sz w:val="16"/>
              </w:rPr>
              <w:t>Serialized judge before Final Review.</w:t>
            </w:r>
          </w:p>
        </w:tc>
      </w:tr>
      <w:tr>
        <w:tc>
          <w:tcPr>
            <w:tcW w:type="dxa" w:w="1699"/>
            <w:vAlign w:val="center"/>
          </w:tcPr>
          <w:p>
            <w:pPr>
              <w:spacing w:after="20"/>
            </w:pPr>
            <w:r>
              <w:rPr>
                <w:rFonts w:ascii="Aptos" w:hAnsi="Aptos"/>
                <w:b w:val="0"/>
                <w:color w:val="263B4B"/>
                <w:sz w:val="16"/>
              </w:rPr>
              <w:t>I04 / Resolved in demo</w:t>
            </w:r>
          </w:p>
        </w:tc>
        <w:tc>
          <w:tcPr>
            <w:tcW w:type="dxa" w:w="4104"/>
            <w:vAlign w:val="center"/>
          </w:tcPr>
          <w:p>
            <w:pPr>
              <w:spacing w:after="20"/>
            </w:pPr>
            <w:r>
              <w:rPr>
                <w:rFonts w:ascii="Aptos" w:hAnsi="Aptos"/>
                <w:b w:val="0"/>
                <w:color w:val="263B4B"/>
                <w:sz w:val="16"/>
              </w:rPr>
              <w:t>LangSmith 403 for service credential.</w:t>
            </w:r>
          </w:p>
        </w:tc>
        <w:tc>
          <w:tcPr>
            <w:tcW w:type="dxa" w:w="3989"/>
            <w:vAlign w:val="center"/>
          </w:tcPr>
          <w:p>
            <w:pPr>
              <w:spacing w:after="20"/>
            </w:pPr>
            <w:r>
              <w:rPr>
                <w:rFonts w:ascii="Aptos" w:hAnsi="Aptos"/>
                <w:b w:val="0"/>
                <w:color w:val="263B4B"/>
                <w:sz w:val="16"/>
              </w:rPr>
              <w:t>Personal token accepted; trace subsequently created.</w:t>
            </w:r>
          </w:p>
        </w:tc>
      </w:tr>
      <w:tr>
        <w:tc>
          <w:tcPr>
            <w:tcW w:type="dxa" w:w="1699"/>
            <w:vAlign w:val="center"/>
            <w:shd w:fill="EFF5F7"/>
          </w:tcPr>
          <w:p>
            <w:pPr>
              <w:spacing w:after="20"/>
            </w:pPr>
            <w:r>
              <w:rPr>
                <w:rFonts w:ascii="Aptos" w:hAnsi="Aptos"/>
                <w:b w:val="0"/>
                <w:color w:val="263B4B"/>
                <w:sz w:val="16"/>
              </w:rPr>
              <w:t>I05 / Open operational</w:t>
            </w:r>
          </w:p>
        </w:tc>
        <w:tc>
          <w:tcPr>
            <w:tcW w:type="dxa" w:w="4104"/>
            <w:vAlign w:val="center"/>
            <w:shd w:fill="EFF5F7"/>
          </w:tcPr>
          <w:p>
            <w:pPr>
              <w:spacing w:after="20"/>
            </w:pPr>
            <w:r>
              <w:rPr>
                <w:rFonts w:ascii="Aptos" w:hAnsi="Aptos"/>
                <w:b w:val="0"/>
                <w:color w:val="263B4B"/>
                <w:sz w:val="16"/>
              </w:rPr>
              <w:t>Temporary Cloudflare URL changes after restart.</w:t>
            </w:r>
          </w:p>
        </w:tc>
        <w:tc>
          <w:tcPr>
            <w:tcW w:type="dxa" w:w="3989"/>
            <w:vAlign w:val="center"/>
            <w:shd w:fill="EFF5F7"/>
          </w:tcPr>
          <w:p>
            <w:pPr>
              <w:spacing w:after="20"/>
            </w:pPr>
            <w:r>
              <w:rPr>
                <w:rFonts w:ascii="Aptos" w:hAnsi="Aptos"/>
                <w:b w:val="0"/>
                <w:color w:val="263B4B"/>
                <w:sz w:val="16"/>
              </w:rPr>
              <w:t>Update Compose N8N_WEBHOOK_URL and refresh Telegram registration.</w:t>
            </w:r>
          </w:p>
        </w:tc>
      </w:tr>
      <w:tr>
        <w:tc>
          <w:tcPr>
            <w:tcW w:type="dxa" w:w="1699"/>
            <w:vAlign w:val="center"/>
          </w:tcPr>
          <w:p>
            <w:pPr>
              <w:spacing w:after="20"/>
            </w:pPr>
            <w:r>
              <w:rPr>
                <w:rFonts w:ascii="Aptos" w:hAnsi="Aptos"/>
                <w:b w:val="0"/>
                <w:color w:val="263B4B"/>
                <w:sz w:val="16"/>
              </w:rPr>
              <w:t>I06 / Open limitation</w:t>
            </w:r>
          </w:p>
        </w:tc>
        <w:tc>
          <w:tcPr>
            <w:tcW w:type="dxa" w:w="4104"/>
            <w:vAlign w:val="center"/>
          </w:tcPr>
          <w:p>
            <w:pPr>
              <w:spacing w:after="20"/>
            </w:pPr>
            <w:r>
              <w:rPr>
                <w:rFonts w:ascii="Aptos" w:hAnsi="Aptos"/>
                <w:b w:val="0"/>
                <w:color w:val="263B4B"/>
                <w:sz w:val="16"/>
              </w:rPr>
              <w:t>Workflow static data and QA-only LangSmith checkpoint.</w:t>
            </w:r>
          </w:p>
        </w:tc>
        <w:tc>
          <w:tcPr>
            <w:tcW w:type="dxa" w:w="3989"/>
            <w:vAlign w:val="center"/>
          </w:tcPr>
          <w:p>
            <w:pPr>
              <w:spacing w:after="20"/>
            </w:pPr>
            <w:r>
              <w:rPr>
                <w:rFonts w:ascii="Aptos" w:hAnsi="Aptos"/>
                <w:b w:val="0"/>
                <w:color w:val="263B4B"/>
                <w:sz w:val="16"/>
              </w:rPr>
              <w:t>Durable database + more complete tracing for pilot.</w:t>
            </w:r>
          </w:p>
        </w:tc>
      </w:tr>
    </w:tbl>
    <w:p>
      <w:r>
        <w:br w:type="page"/>
      </w:r>
    </w:p>
    <w:p>
      <w:pPr>
        <w:spacing w:after="20"/>
      </w:pPr>
      <w:r>
        <w:rPr>
          <w:rFonts w:ascii="Aptos" w:hAnsi="Aptos"/>
          <w:b/>
          <w:color w:val="087C85"/>
          <w:sz w:val="16"/>
        </w:rPr>
        <w:t>CHECKPOINT 4 / REMAINING WORK</w:t>
      </w:r>
    </w:p>
    <w:p>
      <w:pPr>
        <w:pStyle w:val="Title"/>
      </w:pPr>
      <w:r>
        <w:t>Limitations, Pilot Gates &amp; Sign-off</w:t>
      </w:r>
    </w:p>
    <w:p>
      <w:pPr>
        <w:spacing w:after="240"/>
      </w:pPr>
      <w:r>
        <w:rPr>
          <w:rFonts w:ascii="Aptos" w:hAnsi="Aptos"/>
          <w:b w:val="0"/>
          <w:color w:val="607181"/>
          <w:sz w:val="18"/>
        </w:rPr>
        <w:t>Required actions are explicit; none are silently marked complete.</w:t>
      </w:r>
    </w:p>
    <w:p>
      <w:pPr>
        <w:pStyle w:val="Heading1"/>
      </w:pPr>
      <w:r>
        <w:t>11  Known limitations and pilot prerequisites</w:t>
      </w:r>
    </w:p>
    <w:p>
      <w:pPr>
        <w:pStyle w:val="ListBullet"/>
        <w:spacing w:after="40"/>
      </w:pPr>
      <w:r>
        <w:rPr>
          <w:rFonts w:ascii="Aptos" w:hAnsi="Aptos"/>
          <w:b w:val="0"/>
          <w:color w:val="263B4B"/>
          <w:sz w:val="17"/>
        </w:rPr>
        <w:t>DEMO ONLY. No real PHI: regex detection is incomplete and audio is uploaded to a third-party STT service before transcript screening.</w:t>
      </w:r>
    </w:p>
    <w:p>
      <w:pPr>
        <w:pStyle w:val="ListBullet"/>
        <w:spacing w:after="40"/>
      </w:pPr>
      <w:r>
        <w:rPr>
          <w:rFonts w:ascii="Aptos" w:hAnsi="Aptos"/>
          <w:b w:val="0"/>
          <w:color w:val="263B4B"/>
          <w:sz w:val="17"/>
        </w:rPr>
        <w:t>One integrated n8n workflow, per instructor exception; formal proof of the exception and five component owner assignments need filing.</w:t>
      </w:r>
    </w:p>
    <w:p>
      <w:pPr>
        <w:pStyle w:val="ListBullet"/>
        <w:spacing w:after="40"/>
      </w:pPr>
      <w:r>
        <w:rPr>
          <w:rFonts w:ascii="Aptos" w:hAnsi="Aptos"/>
          <w:b w:val="0"/>
          <w:color w:val="263B4B"/>
          <w:sz w:val="17"/>
        </w:rPr>
        <w:t>Current study/session data use n8n workflow static storage. Concurrency safety, role permissions, audit retention, backups, disaster recovery and encryption need design before real adoption.</w:t>
      </w:r>
    </w:p>
    <w:p>
      <w:pPr>
        <w:pStyle w:val="ListBullet"/>
        <w:spacing w:after="40"/>
      </w:pPr>
      <w:r>
        <w:rPr>
          <w:rFonts w:ascii="Aptos" w:hAnsi="Aptos"/>
          <w:b w:val="0"/>
          <w:color w:val="263B4B"/>
          <w:sz w:val="17"/>
        </w:rPr>
        <w:t>The QA judge is uncalibrated, not an independent clinical ground truth, and measured accuracy/time savings have not been established.</w:t>
      </w:r>
    </w:p>
    <w:p>
      <w:pPr>
        <w:pStyle w:val="ListBullet"/>
        <w:spacing w:after="40"/>
      </w:pPr>
      <w:r>
        <w:rPr>
          <w:rFonts w:ascii="Aptos" w:hAnsi="Aptos"/>
          <w:b w:val="0"/>
          <w:color w:val="263B4B"/>
          <w:sz w:val="17"/>
        </w:rPr>
        <w:t>Current LangSmith trace is a QA checkpoint, not full per-call trace coverage, and pre-Gemini safety refusals may not be represented in LangSmith.</w:t>
      </w:r>
    </w:p>
    <w:p>
      <w:pPr>
        <w:pStyle w:val="ListBullet"/>
        <w:spacing w:after="40"/>
      </w:pPr>
      <w:r>
        <w:rPr>
          <w:rFonts w:ascii="Aptos" w:hAnsi="Aptos"/>
          <w:b w:val="0"/>
          <w:color w:val="263B4B"/>
          <w:sz w:val="17"/>
        </w:rPr>
        <w:t>The 3 end-to-end scenarios and 25 individual test cases require documented owner execution or traceable existing records, not just scripts.</w:t>
      </w:r>
    </w:p>
    <w:p>
      <w:pPr>
        <w:pStyle w:val="ListBullet"/>
        <w:spacing w:after="40"/>
      </w:pPr>
      <w:r>
        <w:rPr>
          <w:rFonts w:ascii="Aptos" w:hAnsi="Aptos"/>
          <w:b w:val="0"/>
          <w:color w:val="263B4B"/>
          <w:sz w:val="17"/>
        </w:rPr>
        <w:t>Regulatory, IRB, security, privacy impact assessments and researcher training would be required before handling actual research data.</w:t>
      </w:r>
    </w:p>
    <w:p>
      <w:pPr>
        <w:pStyle w:val="Heading1"/>
      </w:pPr>
      <w:r>
        <w:t>12  Outstanding checklist for Checkpoint 4</w:t>
      </w:r>
    </w:p>
    <w:tbl>
      <w:tblPr>
        <w:tblW w:type="auto" w:w="0"/>
        <w:jc w:val="center"/>
        <w:tblLayout w:type="fixed"/>
        <w:tblLook w:firstColumn="1" w:firstRow="1" w:lastColumn="0" w:lastRow="0" w:noHBand="0" w:noVBand="1" w:val="04A0"/>
      </w:tblPr>
      <w:tblGrid>
        <w:gridCol w:w="3326"/>
        <w:gridCol w:w="3326"/>
        <w:gridCol w:w="3326"/>
      </w:tblGrid>
      <w:tr>
        <w:tc>
          <w:tcPr>
            <w:tcW w:type="dxa" w:w="2376"/>
            <w:shd w:fill="17324D"/>
            <w:vAlign w:val="center"/>
          </w:tcPr>
          <w:p>
            <w:pPr>
              <w:spacing w:after="20"/>
            </w:pPr>
            <w:r>
              <w:rPr>
                <w:rFonts w:ascii="Aptos" w:hAnsi="Aptos"/>
                <w:b/>
                <w:color w:val="FFFFFF"/>
                <w:sz w:val="16"/>
              </w:rPr>
              <w:t>Owner</w:t>
            </w:r>
          </w:p>
        </w:tc>
        <w:tc>
          <w:tcPr>
            <w:tcW w:type="dxa" w:w="6163"/>
            <w:shd w:fill="17324D"/>
            <w:vAlign w:val="center"/>
          </w:tcPr>
          <w:p>
            <w:pPr>
              <w:spacing w:after="20"/>
            </w:pPr>
            <w:r>
              <w:rPr>
                <w:rFonts w:ascii="Aptos" w:hAnsi="Aptos"/>
                <w:b/>
                <w:color w:val="FFFFFF"/>
                <w:sz w:val="16"/>
              </w:rPr>
              <w:t>Outstanding evidence / action</w:t>
            </w:r>
          </w:p>
        </w:tc>
        <w:tc>
          <w:tcPr>
            <w:tcW w:type="dxa" w:w="1253"/>
            <w:shd w:fill="17324D"/>
            <w:vAlign w:val="center"/>
          </w:tcPr>
          <w:p>
            <w:pPr>
              <w:spacing w:after="20"/>
            </w:pPr>
            <w:r>
              <w:rPr>
                <w:rFonts w:ascii="Aptos" w:hAnsi="Aptos"/>
                <w:b/>
                <w:color w:val="FFFFFF"/>
                <w:sz w:val="16"/>
              </w:rPr>
              <w:t>Sign-off</w:t>
            </w:r>
          </w:p>
        </w:tc>
      </w:tr>
      <w:tr>
        <w:tc>
          <w:tcPr>
            <w:tcW w:type="dxa" w:w="2376"/>
            <w:vAlign w:val="center"/>
            <w:shd w:fill="EFF5F7"/>
          </w:tcPr>
          <w:p>
            <w:pPr>
              <w:spacing w:after="20"/>
            </w:pPr>
            <w:r>
              <w:rPr>
                <w:rFonts w:ascii="Aptos" w:hAnsi="Aptos"/>
                <w:b w:val="0"/>
                <w:color w:val="263B4B"/>
                <w:sz w:val="16"/>
              </w:rPr>
              <w:t>All five component owners</w:t>
            </w:r>
          </w:p>
        </w:tc>
        <w:tc>
          <w:tcPr>
            <w:tcW w:type="dxa" w:w="6163"/>
            <w:vAlign w:val="center"/>
            <w:shd w:fill="EFF5F7"/>
          </w:tcPr>
          <w:p>
            <w:pPr>
              <w:spacing w:after="20"/>
            </w:pPr>
            <w:r>
              <w:rPr>
                <w:rFonts w:ascii="Aptos" w:hAnsi="Aptos"/>
                <w:b w:val="0"/>
                <w:color w:val="263B4B"/>
                <w:sz w:val="16"/>
              </w:rPr>
              <w:t>3 normal + 1 edge + 1 unsafe case each; attach actual screenshots/exec IDs.</w:t>
            </w:r>
          </w:p>
        </w:tc>
        <w:tc>
          <w:tcPr>
            <w:tcW w:type="dxa" w:w="1253"/>
            <w:vAlign w:val="center"/>
            <w:shd w:fill="EFF5F7"/>
          </w:tcPr>
          <w:p>
            <w:pPr>
              <w:spacing w:after="20"/>
            </w:pPr>
            <w:r>
              <w:rPr>
                <w:rFonts w:ascii="Aptos" w:hAnsi="Aptos"/>
                <w:b w:val="0"/>
                <w:color w:val="263B4B"/>
                <w:sz w:val="16"/>
              </w:rPr>
              <w:t>[Pending]</w:t>
            </w:r>
          </w:p>
        </w:tc>
      </w:tr>
      <w:tr>
        <w:tc>
          <w:tcPr>
            <w:tcW w:type="dxa" w:w="2376"/>
            <w:vAlign w:val="center"/>
          </w:tcPr>
          <w:p>
            <w:pPr>
              <w:spacing w:after="20"/>
            </w:pPr>
            <w:r>
              <w:rPr>
                <w:rFonts w:ascii="Aptos" w:hAnsi="Aptos"/>
                <w:b w:val="0"/>
                <w:color w:val="263B4B"/>
                <w:sz w:val="16"/>
              </w:rPr>
              <w:t>E2E lead / Integration Owner</w:t>
            </w:r>
          </w:p>
        </w:tc>
        <w:tc>
          <w:tcPr>
            <w:tcW w:type="dxa" w:w="6163"/>
            <w:vAlign w:val="center"/>
          </w:tcPr>
          <w:p>
            <w:pPr>
              <w:spacing w:after="20"/>
            </w:pPr>
            <w:r>
              <w:rPr>
                <w:rFonts w:ascii="Aptos" w:hAnsi="Aptos"/>
                <w:b w:val="0"/>
                <w:color w:val="263B4B"/>
                <w:sz w:val="16"/>
              </w:rPr>
              <w:t>3 formally documented full-system scenarios; handoff verification.</w:t>
            </w:r>
          </w:p>
        </w:tc>
        <w:tc>
          <w:tcPr>
            <w:tcW w:type="dxa" w:w="1253"/>
            <w:vAlign w:val="center"/>
          </w:tcPr>
          <w:p>
            <w:pPr>
              <w:spacing w:after="20"/>
            </w:pPr>
            <w:r>
              <w:rPr>
                <w:rFonts w:ascii="Aptos" w:hAnsi="Aptos"/>
                <w:b w:val="0"/>
                <w:color w:val="263B4B"/>
                <w:sz w:val="16"/>
              </w:rPr>
              <w:t>[Pending]</w:t>
            </w:r>
          </w:p>
        </w:tc>
      </w:tr>
      <w:tr>
        <w:tc>
          <w:tcPr>
            <w:tcW w:type="dxa" w:w="2376"/>
            <w:vAlign w:val="center"/>
            <w:shd w:fill="EFF5F7"/>
          </w:tcPr>
          <w:p>
            <w:pPr>
              <w:spacing w:after="20"/>
            </w:pPr>
            <w:r>
              <w:rPr>
                <w:rFonts w:ascii="Aptos" w:hAnsi="Aptos"/>
                <w:b w:val="0"/>
                <w:color w:val="263B4B"/>
                <w:sz w:val="16"/>
              </w:rPr>
              <w:t>Two independent reviewers</w:t>
            </w:r>
          </w:p>
        </w:tc>
        <w:tc>
          <w:tcPr>
            <w:tcW w:type="dxa" w:w="6163"/>
            <w:vAlign w:val="center"/>
            <w:shd w:fill="EFF5F7"/>
          </w:tcPr>
          <w:p>
            <w:pPr>
              <w:spacing w:after="20"/>
            </w:pPr>
            <w:r>
              <w:rPr>
                <w:rFonts w:ascii="Aptos" w:hAnsi="Aptos"/>
                <w:b w:val="0"/>
                <w:color w:val="263B4B"/>
                <w:sz w:val="16"/>
              </w:rPr>
              <w:t>Calibrate five dimensions on identical frozen outputs; resolve disagreements.</w:t>
            </w:r>
          </w:p>
        </w:tc>
        <w:tc>
          <w:tcPr>
            <w:tcW w:type="dxa" w:w="1253"/>
            <w:vAlign w:val="center"/>
            <w:shd w:fill="EFF5F7"/>
          </w:tcPr>
          <w:p>
            <w:pPr>
              <w:spacing w:after="20"/>
            </w:pPr>
            <w:r>
              <w:rPr>
                <w:rFonts w:ascii="Aptos" w:hAnsi="Aptos"/>
                <w:b w:val="0"/>
                <w:color w:val="263B4B"/>
                <w:sz w:val="16"/>
              </w:rPr>
              <w:t>[Pending]</w:t>
            </w:r>
          </w:p>
        </w:tc>
      </w:tr>
      <w:tr>
        <w:tc>
          <w:tcPr>
            <w:tcW w:type="dxa" w:w="2376"/>
            <w:vAlign w:val="center"/>
          </w:tcPr>
          <w:p>
            <w:pPr>
              <w:spacing w:after="20"/>
            </w:pPr>
            <w:r>
              <w:rPr>
                <w:rFonts w:ascii="Aptos" w:hAnsi="Aptos"/>
                <w:b w:val="0"/>
                <w:color w:val="263B4B"/>
                <w:sz w:val="16"/>
              </w:rPr>
              <w:t>Evaluation Owner</w:t>
            </w:r>
          </w:p>
        </w:tc>
        <w:tc>
          <w:tcPr>
            <w:tcW w:type="dxa" w:w="6163"/>
            <w:vAlign w:val="center"/>
          </w:tcPr>
          <w:p>
            <w:pPr>
              <w:spacing w:after="20"/>
            </w:pPr>
            <w:r>
              <w:rPr>
                <w:rFonts w:ascii="Aptos" w:hAnsi="Aptos"/>
                <w:b w:val="0"/>
                <w:color w:val="263B4B"/>
                <w:sz w:val="16"/>
              </w:rPr>
              <w:t>One-page dashboard; trace coverage statement; KPI actuals and alerts evidence.</w:t>
            </w:r>
          </w:p>
        </w:tc>
        <w:tc>
          <w:tcPr>
            <w:tcW w:type="dxa" w:w="1253"/>
            <w:vAlign w:val="center"/>
          </w:tcPr>
          <w:p>
            <w:pPr>
              <w:spacing w:after="20"/>
            </w:pPr>
            <w:r>
              <w:rPr>
                <w:rFonts w:ascii="Aptos" w:hAnsi="Aptos"/>
                <w:b w:val="0"/>
                <w:color w:val="263B4B"/>
                <w:sz w:val="16"/>
              </w:rPr>
              <w:t>[Pending]</w:t>
            </w:r>
          </w:p>
        </w:tc>
      </w:tr>
      <w:tr>
        <w:tc>
          <w:tcPr>
            <w:tcW w:type="dxa" w:w="2376"/>
            <w:vAlign w:val="center"/>
            <w:shd w:fill="EFF5F7"/>
          </w:tcPr>
          <w:p>
            <w:pPr>
              <w:spacing w:after="20"/>
            </w:pPr>
            <w:r>
              <w:rPr>
                <w:rFonts w:ascii="Aptos" w:hAnsi="Aptos"/>
                <w:b w:val="0"/>
                <w:color w:val="263B4B"/>
                <w:sz w:val="16"/>
              </w:rPr>
              <w:t>Team Lead</w:t>
            </w:r>
          </w:p>
        </w:tc>
        <w:tc>
          <w:tcPr>
            <w:tcW w:type="dxa" w:w="6163"/>
            <w:vAlign w:val="center"/>
            <w:shd w:fill="EFF5F7"/>
          </w:tcPr>
          <w:p>
            <w:pPr>
              <w:spacing w:after="20"/>
            </w:pPr>
            <w:r>
              <w:rPr>
                <w:rFonts w:ascii="Aptos" w:hAnsi="Aptos"/>
                <w:b w:val="0"/>
                <w:color w:val="263B4B"/>
                <w:sz w:val="16"/>
              </w:rPr>
              <w:t>Resolve or log deviations; issue log; instructor checkpoint approval.</w:t>
            </w:r>
          </w:p>
        </w:tc>
        <w:tc>
          <w:tcPr>
            <w:tcW w:type="dxa" w:w="1253"/>
            <w:vAlign w:val="center"/>
            <w:shd w:fill="EFF5F7"/>
          </w:tcPr>
          <w:p>
            <w:pPr>
              <w:spacing w:after="20"/>
            </w:pPr>
            <w:r>
              <w:rPr>
                <w:rFonts w:ascii="Aptos" w:hAnsi="Aptos"/>
                <w:b w:val="0"/>
                <w:color w:val="263B4B"/>
                <w:sz w:val="16"/>
              </w:rPr>
              <w:t>[Pending]</w:t>
            </w:r>
          </w:p>
        </w:tc>
      </w:tr>
      <w:tr>
        <w:tc>
          <w:tcPr>
            <w:tcW w:type="dxa" w:w="2376"/>
            <w:vAlign w:val="center"/>
          </w:tcPr>
          <w:p>
            <w:pPr>
              <w:spacing w:after="20"/>
            </w:pPr>
            <w:r>
              <w:rPr>
                <w:rFonts w:ascii="Aptos" w:hAnsi="Aptos"/>
                <w:b w:val="0"/>
                <w:color w:val="263B4B"/>
                <w:sz w:val="16"/>
              </w:rPr>
              <w:t>Presenter team</w:t>
            </w:r>
          </w:p>
        </w:tc>
        <w:tc>
          <w:tcPr>
            <w:tcW w:type="dxa" w:w="6163"/>
            <w:vAlign w:val="center"/>
          </w:tcPr>
          <w:p>
            <w:pPr>
              <w:spacing w:after="20"/>
            </w:pPr>
            <w:r>
              <w:rPr>
                <w:rFonts w:ascii="Aptos" w:hAnsi="Aptos"/>
                <w:b w:val="0"/>
                <w:color w:val="263B4B"/>
                <w:sz w:val="16"/>
              </w:rPr>
              <w:t>Backup video of one complete synthetic run and final pitch rehearsal.</w:t>
            </w:r>
          </w:p>
        </w:tc>
        <w:tc>
          <w:tcPr>
            <w:tcW w:type="dxa" w:w="1253"/>
            <w:vAlign w:val="center"/>
          </w:tcPr>
          <w:p>
            <w:pPr>
              <w:spacing w:after="20"/>
            </w:pPr>
            <w:r>
              <w:rPr>
                <w:rFonts w:ascii="Aptos" w:hAnsi="Aptos"/>
                <w:b w:val="0"/>
                <w:color w:val="263B4B"/>
                <w:sz w:val="16"/>
              </w:rPr>
              <w:t>[Pending]</w:t>
            </w:r>
          </w:p>
        </w:tc>
      </w:tr>
    </w:tbl>
    <w:p>
      <w:pPr>
        <w:pStyle w:val="Heading1"/>
      </w:pPr>
      <w:r>
        <w:t>13  Evidence index for this draft</w:t>
      </w:r>
    </w:p>
    <w:p>
      <w:r>
        <w:rPr>
          <w:rFonts w:ascii="Aptos" w:hAnsi="Aptos"/>
          <w:b w:val="0"/>
          <w:color w:val="263B4B"/>
          <w:sz w:val="18"/>
        </w:rPr>
        <w:t>Related delivered artifacts: Batch 1 KPI Workbook and Solution Design; Batch 2 five one-page owner documents and 25-row tracker; screenshots EV01–EV07; current Phase 4 n8n export and LangSmith ResearchVoice-AI-Graduation project. Attach redacted, time-stamped screenshots plus exact run IDs before submission.</w:t>
      </w:r>
    </w:p>
    <w:p>
      <w:pPr>
        <w:spacing w:before="160"/>
      </w:pPr>
      <w:r>
        <w:rPr>
          <w:rFonts w:ascii="Aptos" w:hAnsi="Aptos"/>
          <w:b/>
          <w:color w:val="087C85"/>
          <w:sz w:val="16"/>
        </w:rPr>
        <w:t xml:space="preserve">EVIDENCE STATUS  </w:t>
      </w:r>
      <w:r>
        <w:rPr>
          <w:rFonts w:ascii="Aptos" w:hAnsi="Aptos"/>
          <w:b w:val="0"/>
          <w:color w:val="607181"/>
          <w:sz w:val="16"/>
        </w:rPr>
        <w:t>Prepared from the DEPI Oct 2026 guideline, shared n8n/Telegram execution screenshots and workflow files. Numbers above are expressly scoped to the documented one-case monitoring snapshot. All unresolved metrics and human scores remain unfilled.</w:t>
      </w:r>
    </w:p>
    <w:sectPr w:rsidR="00FC693F" w:rsidRPr="0006063C" w:rsidSect="00034616">
      <w:footerReference w:type="default" r:id="rId9"/>
      <w:pgSz w:w="11909" w:h="16834"/>
      <w:pgMar w:top="878" w:right="965" w:bottom="864" w:left="965"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07181"/>
        <w:sz w:val="14"/>
      </w:rPr>
      <w:t>RESEARCHVOICE AI  |  DEPI OCT 2026  |  DRAFT / SYNTHETIC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B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87C8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