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ResearchVoice AI  |  Business Brief</w:t>
      </w:r>
    </w:p>
    <w:p>
      <w:pPr>
        <w:spacing w:after="100"/>
      </w:pPr>
      <w:r>
        <w:rPr>
          <w:color w:val="5D6875"/>
          <w:sz w:val="16"/>
        </w:rPr>
        <w:t>PHASE 1 • AI for Healthcare • Concept-stage business case • DRAFT / Requires team approval</w:t>
      </w:r>
    </w:p>
    <w:p>
      <w:pPr>
        <w:pStyle w:val="Heading2"/>
      </w:pPr>
      <w:r>
        <w:t>Problem and estimated impact</w:t>
      </w:r>
    </w:p>
    <w:p>
      <w:r>
        <w:t>Clinical researchers and physician-investigators repeatedly transfer study observations from interviews or notes into Excel, forms, and case-report records. This interrupts collection and creates checking and correction work, especially during follow-up visits. Today the workaround is manual typing and rechecking. ResearchVoice AI proposes a faster, researcher-controlled voice/text-to-structured-record workflow.</w:t>
      </w:r>
    </w:p>
    <w:p>
      <w:r>
        <w:t>Illustrative planning estimate (NOT a measured baseline): 8 minutes per visit x 100 visits/month = 800 minutes (13 h 20 min) of monthly entry time. A target of 5 minutes per visit would reduce this modeled workload by 300 minutes/month. Both assumptions require a timed comparison before any benefit is claimed.</w:t>
      </w:r>
    </w:p>
    <w:p>
      <w:pPr>
        <w:pStyle w:val="Heading2"/>
      </w:pPr>
      <w:r>
        <w:t>Objectives and audience</w:t>
      </w:r>
    </w:p>
    <w:p>
      <w:r>
        <w:t>Proposed measurable objectives: (1) reduce average preparation time to &lt;=5 min/visit, subject to validating the 8-min baseline; (2) achieve &gt;=95% exact field-level agreement against synthetic ground truth before researcher corrections; (3) ensure 100% of delivered XLSX visits have explicit researcher confirmation.</w:t>
      </w:r>
    </w:p>
    <w:p>
      <w:r>
        <w:t>Main user: clinical researcher / physician-investigator collecting repeated observational variables and follow-up records. Beneficiaries: research coordinators, data managers, and study teams. Potential buyer: a principal investigator, research unit, or university/hospital research administration (specific budget holder NOT confirmed).</w:t>
      </w:r>
    </w:p>
    <w:p>
      <w:r>
        <w:t>Persona: a hospital-based researcher uses paper/CRFs, EHR notes and spreadsheets; regularly repeats the same variable entry; needs speed without accepting silent AI guesses.</w:t>
      </w:r>
    </w:p>
    <w:p>
      <w:pPr>
        <w:pStyle w:val="Heading2"/>
      </w:pPr>
      <w:r>
        <w:t>Success metrics — proposed KPI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rPr>
          <w:tblHeader w:val="true"/>
        </w:trPr>
        <w:tc>
          <w:tcPr>
            <w:tcW w:type="dxa" w:w="1224"/>
            <w:shd w:fill="0F2035"/>
          </w:tcPr>
          <w:p>
            <w:r>
              <w:rPr>
                <w:b/>
                <w:color w:val="FFFFFF"/>
                <w:sz w:val="14"/>
              </w:rPr>
              <w:t>Lens</w:t>
            </w:r>
          </w:p>
        </w:tc>
        <w:tc>
          <w:tcPr>
            <w:tcW w:type="dxa" w:w="3024"/>
            <w:shd w:fill="0F2035"/>
          </w:tcPr>
          <w:p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2045"/>
            <w:shd w:fill="0F2035"/>
          </w:tcPr>
          <w:p>
            <w:r>
              <w:rPr>
                <w:b/>
                <w:color w:val="FFFFFF"/>
                <w:sz w:val="14"/>
              </w:rPr>
              <w:t>Baseline</w:t>
            </w:r>
          </w:p>
        </w:tc>
        <w:tc>
          <w:tcPr>
            <w:tcW w:type="dxa" w:w="3888"/>
            <w:shd w:fill="0F2035"/>
          </w:tcPr>
          <w:p>
            <w:r>
              <w:rPr>
                <w:b/>
                <w:color w:val="FFFFFF"/>
                <w:sz w:val="14"/>
              </w:rPr>
              <w:t>Target / measure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Cost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Mean minutes to approved XLSX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8 min planning estimate only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&lt;=5 min; time 10 paired synthetic cases</w:t>
            </w:r>
          </w:p>
        </w:tc>
      </w:tr>
      <w:tr>
        <w:tc>
          <w:tcPr>
            <w:tcW w:type="dxa" w:w="1224"/>
            <w:vAlign w:val="center"/>
            <w:shd w:fill="F0F5F7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Outcomes</w:t>
            </w:r>
          </w:p>
        </w:tc>
        <w:tc>
          <w:tcPr>
            <w:tcW w:type="dxa" w:w="3024"/>
            <w:vAlign w:val="center"/>
            <w:shd w:fill="F0F5F7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Exact extraction field agreement</w:t>
            </w:r>
          </w:p>
        </w:tc>
        <w:tc>
          <w:tcPr>
            <w:tcW w:type="dxa" w:w="2045"/>
            <w:vAlign w:val="center"/>
            <w:shd w:fill="F0F5F7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Not measured</w:t>
            </w:r>
          </w:p>
        </w:tc>
        <w:tc>
          <w:tcPr>
            <w:tcW w:type="dxa" w:w="3888"/>
            <w:vAlign w:val="center"/>
            <w:shd w:fill="F0F5F7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&gt;=95%; compare to synthetic gold labels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Outcomes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Field correction rate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Not measured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&lt;=15%; corrected/eligible fields</w:t>
            </w:r>
          </w:p>
        </w:tc>
      </w:tr>
      <w:tr>
        <w:tc>
          <w:tcPr>
            <w:tcW w:type="dxa" w:w="1224"/>
            <w:vAlign w:val="center"/>
            <w:shd w:fill="F0F5F7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Outcomes</w:t>
            </w:r>
          </w:p>
        </w:tc>
        <w:tc>
          <w:tcPr>
            <w:tcW w:type="dxa" w:w="3024"/>
            <w:vAlign w:val="center"/>
            <w:shd w:fill="F0F5F7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Approved export success</w:t>
            </w:r>
          </w:p>
        </w:tc>
        <w:tc>
          <w:tcPr>
            <w:tcW w:type="dxa" w:w="2045"/>
            <w:vAlign w:val="center"/>
            <w:shd w:fill="F0F5F7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Not measured</w:t>
            </w:r>
          </w:p>
        </w:tc>
        <w:tc>
          <w:tcPr>
            <w:tcW w:type="dxa" w:w="3888"/>
            <w:vAlign w:val="center"/>
            <w:shd w:fill="F0F5F7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&gt;=95%; delivered/approved attempts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Workforce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Perceived entry effort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Not measured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color w:val="0F2035"/>
                <w:sz w:val="14"/>
              </w:rPr>
              <w:t>&gt;=4/5 ease score; short tester survey</w:t>
            </w:r>
          </w:p>
        </w:tc>
      </w:tr>
    </w:tbl>
    <w:p>
      <w:pPr>
        <w:spacing w:after="0"/>
      </w:pPr>
    </w:p>
    <w:p>
      <w:pPr>
        <w:pStyle w:val="Heading2"/>
      </w:pPr>
      <w:r>
        <w:t>Scope, safety and validation</w:t>
      </w:r>
    </w:p>
    <w:p>
      <w:r>
        <w:t>IN: researcher-approved study schema; synthetic case codes/visits; Telegram text/voice; Groq transcription; Gemini schema-bound extraction with evidence; correction/approval; XLSX; basic QA monitoring. OUT: real patient records, diagnosis, prescribing, EHR write-back, production-grade data storage, autonomous decisions, or clinical benefit claims.</w:t>
      </w:r>
    </w:p>
    <w:p>
      <w:r>
        <w:t>Synthetic-only validation targets from earlier pitch (NOT results): 20 researcher interviews, &gt;=12 interested testers, 10 expected pilot users, and two interested research teams. No sales or quantified ROI claimed.</w:t>
      </w:r>
    </w:p>
    <w:p>
      <w:pPr>
        <w:spacing w:after="100"/>
      </w:pPr>
      <w:r>
        <w:rPr>
          <w:color w:val="097782"/>
          <w:sz w:val="16"/>
        </w:rPr>
        <w:t>Evidence: working synthetic Telegram/Excel path, judge scores, LangSmith QA checkpoint and /monitor demonstrated. Still pending: measured KPI actuals, buyer confirmation, team/instructor sign-off.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51" w:bottom="706" w:left="1051" w:header="403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D6875"/>
        <w:sz w:val="14"/>
      </w:rPr>
      <w:t>Working submission draft  •  Synthetic-data prototype  •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097782"/>
        <w:sz w:val="14"/>
      </w:rPr>
      <w:t>RESEARCHVOICE AI   /   DEPI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0F20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03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778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778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0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