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ResearchVoice AI  |  Solution Design</w:t>
      </w:r>
    </w:p>
    <w:p>
      <w:pPr>
        <w:spacing w:after="100"/>
      </w:pPr>
      <w:r>
        <w:rPr>
          <w:color w:val="5D6875"/>
          <w:sz w:val="16"/>
        </w:rPr>
        <w:t>PHASE 2 • Feature list / five component spec cards (A2) / integration map (A3) / safety and monitoring plans</w:t>
      </w:r>
    </w:p>
    <w:p>
      <w:r>
        <w:t>Architecture decision: ONE integrated n8n workflow with five functional ownership areas. The team reports that the instructor approved this exception to the guideline's five-file default. Owners below must be filled by the actual team; these are functional components, not claims of five separately published workflows.</w:t>
      </w:r>
    </w:p>
    <w:p>
      <w:pPr>
        <w:pStyle w:val="Heading2"/>
      </w:pPr>
      <w:r>
        <w:t>End-to-end operating sequence</w:t>
      </w:r>
    </w:p>
    <w:p>
      <w:r>
        <w:t>Researcher defines/approves study variables → creates fictional case + dated visit → types data or submits demo voice → transcript checked → schema-bound Gemini extraction → independent QA/alerts/LangSmith → researcher corrects/approves → XLSX delivered through Telegram.</w:t>
      </w:r>
    </w:p>
    <w:p>
      <w:pPr>
        <w:pStyle w:val="Heading2"/>
      </w:pPr>
      <w:r>
        <w:t>Must-have feature list (eight maximum)</w:t>
      </w:r>
    </w:p>
    <w:tbl>
      <w:tblPr>
        <w:tblStyle w:val="TableGrid"/>
        <w:tblW w:type="auto" w:w="0"/>
        <w:jc w:val="center"/>
        <w:tblLook w:firstColumn="1" w:firstRow="1" w:lastColumn="0" w:lastRow="0" w:noHBand="0" w:noVBand="1" w:val="04A0"/>
      </w:tblPr>
      <w:tblGrid>
        <w:gridCol w:w="3379"/>
        <w:gridCol w:w="3379"/>
        <w:gridCol w:w="3379"/>
      </w:tblGrid>
      <w:tr>
        <w:trPr>
          <w:tblHeader w:val="true"/>
        </w:trPr>
        <w:tc>
          <w:tcPr>
            <w:tcW w:type="dxa" w:w="936"/>
            <w:shd w:fill="0F2035"/>
          </w:tcPr>
          <w:p>
            <w:r>
              <w:rPr>
                <w:b/>
                <w:color w:val="FFFFFF"/>
                <w:sz w:val="15"/>
              </w:rPr>
              <w:t>Priority</w:t>
            </w:r>
          </w:p>
        </w:tc>
        <w:tc>
          <w:tcPr>
            <w:tcW w:type="dxa" w:w="3384"/>
            <w:shd w:fill="0F2035"/>
          </w:tcPr>
          <w:p>
            <w:r>
              <w:rPr>
                <w:b/>
                <w:color w:val="FFFFFF"/>
                <w:sz w:val="15"/>
              </w:rPr>
              <w:t>Must-have capability</w:t>
            </w:r>
          </w:p>
        </w:tc>
        <w:tc>
          <w:tcPr>
            <w:tcW w:type="dxa" w:w="5184"/>
            <w:shd w:fill="0F2035"/>
          </w:tcPr>
          <w:p>
            <w:r>
              <w:rPr>
                <w:b/>
                <w:color w:val="FFFFFF"/>
                <w:sz w:val="15"/>
              </w:rPr>
              <w:t>Observed implementation</w:t>
            </w:r>
          </w:p>
        </w:tc>
      </w:tr>
      <w:tr>
        <w:tc>
          <w:tcPr>
            <w:tcW w:type="dxa" w:w="936"/>
            <w:vAlign w:val="center"/>
          </w:tcPr>
          <w:p>
            <w:pPr>
              <w:spacing w:after="20"/>
            </w:pPr>
            <w:r>
              <w:rPr>
                <w:color w:val="0F2035"/>
                <w:sz w:val="15"/>
              </w:rPr>
              <w:t>M1</w:t>
            </w:r>
          </w:p>
        </w:tc>
        <w:tc>
          <w:tcPr>
            <w:tcW w:type="dxa" w:w="3384"/>
            <w:vAlign w:val="center"/>
          </w:tcPr>
          <w:p>
            <w:pPr>
              <w:spacing w:after="20"/>
            </w:pPr>
            <w:r>
              <w:rPr>
                <w:color w:val="0F2035"/>
                <w:sz w:val="15"/>
              </w:rPr>
              <w:t>Study creation and variable approval</w:t>
            </w:r>
          </w:p>
        </w:tc>
        <w:tc>
          <w:tcPr>
            <w:tcW w:type="dxa" w:w="5184"/>
            <w:vAlign w:val="center"/>
          </w:tcPr>
          <w:p>
            <w:pPr>
              <w:spacing w:after="20"/>
            </w:pPr>
            <w:r>
              <w:rPr>
                <w:color w:val="0F2035"/>
                <w:sz w:val="15"/>
              </w:rPr>
              <w:t>/new; schema review / approval</w:t>
            </w:r>
          </w:p>
        </w:tc>
      </w:tr>
      <w:tr>
        <w:tc>
          <w:tcPr>
            <w:tcW w:type="dxa" w:w="936"/>
            <w:vAlign w:val="center"/>
            <w:shd w:fill="F0F5F7"/>
          </w:tcPr>
          <w:p>
            <w:pPr>
              <w:spacing w:after="20"/>
            </w:pPr>
            <w:r>
              <w:rPr>
                <w:color w:val="0F2035"/>
                <w:sz w:val="15"/>
              </w:rPr>
              <w:t>M2</w:t>
            </w:r>
          </w:p>
        </w:tc>
        <w:tc>
          <w:tcPr>
            <w:tcW w:type="dxa" w:w="3384"/>
            <w:vAlign w:val="center"/>
            <w:shd w:fill="F0F5F7"/>
          </w:tcPr>
          <w:p>
            <w:pPr>
              <w:spacing w:after="20"/>
            </w:pPr>
            <w:r>
              <w:rPr>
                <w:color w:val="0F2035"/>
                <w:sz w:val="15"/>
              </w:rPr>
              <w:t>Synthetic case + dated follow-up visit</w:t>
            </w:r>
          </w:p>
        </w:tc>
        <w:tc>
          <w:tcPr>
            <w:tcW w:type="dxa" w:w="5184"/>
            <w:vAlign w:val="center"/>
            <w:shd w:fill="F0F5F7"/>
          </w:tcPr>
          <w:p>
            <w:pPr>
              <w:spacing w:after="20"/>
            </w:pPr>
            <w:r>
              <w:rPr>
                <w:color w:val="0F2035"/>
                <w:sz w:val="15"/>
              </w:rPr>
              <w:t>/case, /visit, YYYY-MM-DD</w:t>
            </w:r>
          </w:p>
        </w:tc>
      </w:tr>
      <w:tr>
        <w:tc>
          <w:tcPr>
            <w:tcW w:type="dxa" w:w="936"/>
            <w:vAlign w:val="center"/>
          </w:tcPr>
          <w:p>
            <w:pPr>
              <w:spacing w:after="20"/>
            </w:pPr>
            <w:r>
              <w:rPr>
                <w:color w:val="0F2035"/>
                <w:sz w:val="15"/>
              </w:rPr>
              <w:t>M3</w:t>
            </w:r>
          </w:p>
        </w:tc>
        <w:tc>
          <w:tcPr>
            <w:tcW w:type="dxa" w:w="3384"/>
            <w:vAlign w:val="center"/>
          </w:tcPr>
          <w:p>
            <w:pPr>
              <w:spacing w:after="20"/>
            </w:pPr>
            <w:r>
              <w:rPr>
                <w:color w:val="0F2035"/>
                <w:sz w:val="15"/>
              </w:rPr>
              <w:t>Typed and opt-in voice collection</w:t>
            </w:r>
          </w:p>
        </w:tc>
        <w:tc>
          <w:tcPr>
            <w:tcW w:type="dxa" w:w="5184"/>
            <w:vAlign w:val="center"/>
          </w:tcPr>
          <w:p>
            <w:pPr>
              <w:spacing w:after="20"/>
            </w:pPr>
            <w:r>
              <w:rPr>
                <w:color w:val="0F2035"/>
                <w:sz w:val="15"/>
              </w:rPr>
              <w:t>Telegram; /voiceon /voiceoff</w:t>
            </w:r>
          </w:p>
        </w:tc>
      </w:tr>
      <w:tr>
        <w:tc>
          <w:tcPr>
            <w:tcW w:type="dxa" w:w="936"/>
            <w:vAlign w:val="center"/>
            <w:shd w:fill="F0F5F7"/>
          </w:tcPr>
          <w:p>
            <w:pPr>
              <w:spacing w:after="20"/>
            </w:pPr>
            <w:r>
              <w:rPr>
                <w:color w:val="0F2035"/>
                <w:sz w:val="15"/>
              </w:rPr>
              <w:t>M4</w:t>
            </w:r>
          </w:p>
        </w:tc>
        <w:tc>
          <w:tcPr>
            <w:tcW w:type="dxa" w:w="3384"/>
            <w:vAlign w:val="center"/>
            <w:shd w:fill="F0F5F7"/>
          </w:tcPr>
          <w:p>
            <w:pPr>
              <w:spacing w:after="20"/>
            </w:pPr>
            <w:r>
              <w:rPr>
                <w:color w:val="0F2035"/>
                <w:sz w:val="15"/>
              </w:rPr>
              <w:t>Transcription and explicit confirmation</w:t>
            </w:r>
          </w:p>
        </w:tc>
        <w:tc>
          <w:tcPr>
            <w:tcW w:type="dxa" w:w="5184"/>
            <w:vAlign w:val="center"/>
            <w:shd w:fill="F0F5F7"/>
          </w:tcPr>
          <w:p>
            <w:pPr>
              <w:spacing w:after="20"/>
            </w:pPr>
            <w:r>
              <w:rPr>
                <w:color w:val="0F2035"/>
                <w:sz w:val="15"/>
              </w:rPr>
              <w:t>Groq Whisper; confirmation buttons</w:t>
            </w:r>
          </w:p>
        </w:tc>
      </w:tr>
      <w:tr>
        <w:tc>
          <w:tcPr>
            <w:tcW w:type="dxa" w:w="936"/>
            <w:vAlign w:val="center"/>
          </w:tcPr>
          <w:p>
            <w:pPr>
              <w:spacing w:after="20"/>
            </w:pPr>
            <w:r>
              <w:rPr>
                <w:color w:val="0F2035"/>
                <w:sz w:val="15"/>
              </w:rPr>
              <w:t>M5</w:t>
            </w:r>
          </w:p>
        </w:tc>
        <w:tc>
          <w:tcPr>
            <w:tcW w:type="dxa" w:w="3384"/>
            <w:vAlign w:val="center"/>
          </w:tcPr>
          <w:p>
            <w:pPr>
              <w:spacing w:after="20"/>
            </w:pPr>
            <w:r>
              <w:rPr>
                <w:color w:val="0F2035"/>
                <w:sz w:val="15"/>
              </w:rPr>
              <w:t>Schema-limited extraction + evidence</w:t>
            </w:r>
          </w:p>
        </w:tc>
        <w:tc>
          <w:tcPr>
            <w:tcW w:type="dxa" w:w="5184"/>
            <w:vAlign w:val="center"/>
          </w:tcPr>
          <w:p>
            <w:pPr>
              <w:spacing w:after="20"/>
            </w:pPr>
            <w:r>
              <w:rPr>
                <w:color w:val="0F2035"/>
                <w:sz w:val="15"/>
              </w:rPr>
              <w:t>Gemini JSON; issues / missing flags</w:t>
            </w:r>
          </w:p>
        </w:tc>
      </w:tr>
      <w:tr>
        <w:tc>
          <w:tcPr>
            <w:tcW w:type="dxa" w:w="936"/>
            <w:vAlign w:val="center"/>
            <w:shd w:fill="F0F5F7"/>
          </w:tcPr>
          <w:p>
            <w:pPr>
              <w:spacing w:after="20"/>
            </w:pPr>
            <w:r>
              <w:rPr>
                <w:color w:val="0F2035"/>
                <w:sz w:val="15"/>
              </w:rPr>
              <w:t>M6</w:t>
            </w:r>
          </w:p>
        </w:tc>
        <w:tc>
          <w:tcPr>
            <w:tcW w:type="dxa" w:w="3384"/>
            <w:vAlign w:val="center"/>
            <w:shd w:fill="F0F5F7"/>
          </w:tcPr>
          <w:p>
            <w:pPr>
              <w:spacing w:after="20"/>
            </w:pPr>
            <w:r>
              <w:rPr>
                <w:color w:val="0F2035"/>
                <w:sz w:val="15"/>
              </w:rPr>
              <w:t>Researcher correction and explicit export approval</w:t>
            </w:r>
          </w:p>
        </w:tc>
        <w:tc>
          <w:tcPr>
            <w:tcW w:type="dxa" w:w="5184"/>
            <w:vAlign w:val="center"/>
            <w:shd w:fill="F0F5F7"/>
          </w:tcPr>
          <w:p>
            <w:pPr>
              <w:spacing w:after="20"/>
            </w:pPr>
            <w:r>
              <w:rPr>
                <w:color w:val="0F2035"/>
                <w:sz w:val="15"/>
              </w:rPr>
              <w:t>Name = value; Confirm &amp; Export</w:t>
            </w:r>
          </w:p>
        </w:tc>
      </w:tr>
      <w:tr>
        <w:tc>
          <w:tcPr>
            <w:tcW w:type="dxa" w:w="936"/>
            <w:vAlign w:val="center"/>
          </w:tcPr>
          <w:p>
            <w:pPr>
              <w:spacing w:after="20"/>
            </w:pPr>
            <w:r>
              <w:rPr>
                <w:color w:val="0F2035"/>
                <w:sz w:val="15"/>
              </w:rPr>
              <w:t>M7</w:t>
            </w:r>
          </w:p>
        </w:tc>
        <w:tc>
          <w:tcPr>
            <w:tcW w:type="dxa" w:w="3384"/>
            <w:vAlign w:val="center"/>
          </w:tcPr>
          <w:p>
            <w:pPr>
              <w:spacing w:after="20"/>
            </w:pPr>
            <w:r>
              <w:rPr>
                <w:color w:val="0F2035"/>
                <w:sz w:val="15"/>
              </w:rPr>
              <w:t>Approved XLSX and idempotent delivery</w:t>
            </w:r>
          </w:p>
        </w:tc>
        <w:tc>
          <w:tcPr>
            <w:tcW w:type="dxa" w:w="5184"/>
            <w:vAlign w:val="center"/>
          </w:tcPr>
          <w:p>
            <w:pPr>
              <w:spacing w:after="20"/>
            </w:pPr>
            <w:r>
              <w:rPr>
                <w:color w:val="0F2035"/>
                <w:sz w:val="15"/>
              </w:rPr>
              <w:t>XLSX sent via Telegram; completed visit log</w:t>
            </w:r>
          </w:p>
        </w:tc>
      </w:tr>
      <w:tr>
        <w:tc>
          <w:tcPr>
            <w:tcW w:type="dxa" w:w="936"/>
            <w:vAlign w:val="center"/>
            <w:shd w:fill="F0F5F7"/>
          </w:tcPr>
          <w:p>
            <w:pPr>
              <w:spacing w:after="20"/>
            </w:pPr>
            <w:r>
              <w:rPr>
                <w:color w:val="0F2035"/>
                <w:sz w:val="15"/>
              </w:rPr>
              <w:t>M8</w:t>
            </w:r>
          </w:p>
        </w:tc>
        <w:tc>
          <w:tcPr>
            <w:tcW w:type="dxa" w:w="3384"/>
            <w:vAlign w:val="center"/>
            <w:shd w:fill="F0F5F7"/>
          </w:tcPr>
          <w:p>
            <w:pPr>
              <w:spacing w:after="20"/>
            </w:pPr>
            <w:r>
              <w:rPr>
                <w:color w:val="0F2035"/>
                <w:sz w:val="15"/>
              </w:rPr>
              <w:t>Refusal, independent QA, monitoring and audit checkpoint</w:t>
            </w:r>
          </w:p>
        </w:tc>
        <w:tc>
          <w:tcPr>
            <w:tcW w:type="dxa" w:w="5184"/>
            <w:vAlign w:val="center"/>
            <w:shd w:fill="F0F5F7"/>
          </w:tcPr>
          <w:p>
            <w:pPr>
              <w:spacing w:after="20"/>
            </w:pPr>
            <w:r>
              <w:rPr>
                <w:color w:val="0F2035"/>
                <w:sz w:val="15"/>
              </w:rPr>
              <w:t>Safety checks; judge, alerts, /monitor, LangSmith QA trace</w:t>
            </w:r>
          </w:p>
        </w:tc>
      </w:tr>
    </w:tbl>
    <w:p>
      <w:pPr>
        <w:spacing w:after="0"/>
      </w:pPr>
    </w:p>
    <w:p>
      <w:pPr>
        <w:pStyle w:val="Heading2"/>
      </w:pPr>
      <w:r>
        <w:t>Five proposed component owners</w:t>
      </w:r>
    </w:p>
    <w:tbl>
      <w:tblPr>
        <w:tblStyle w:val="TableGrid"/>
        <w:tblW w:type="auto" w:w="0"/>
        <w:jc w:val="center"/>
        <w:tblLook w:firstColumn="1" w:firstRow="1" w:lastColumn="0" w:lastRow="0" w:noHBand="0" w:noVBand="1" w:val="04A0"/>
      </w:tblPr>
      <w:tblGrid>
        <w:gridCol w:w="3379"/>
        <w:gridCol w:w="3379"/>
        <w:gridCol w:w="3379"/>
      </w:tblGrid>
      <w:tr>
        <w:trPr>
          <w:tblHeader w:val="true"/>
        </w:trPr>
        <w:tc>
          <w:tcPr>
            <w:tcW w:type="dxa" w:w="2088"/>
            <w:shd w:fill="0F2035"/>
          </w:tcPr>
          <w:p>
            <w:r>
              <w:rPr>
                <w:b/>
                <w:color w:val="FFFFFF"/>
                <w:sz w:val="15"/>
              </w:rPr>
              <w:t>Owner to confirm</w:t>
            </w:r>
          </w:p>
        </w:tc>
        <w:tc>
          <w:tcPr>
            <w:tcW w:type="dxa" w:w="4608"/>
            <w:shd w:fill="0F2035"/>
          </w:tcPr>
          <w:p>
            <w:r>
              <w:rPr>
                <w:b/>
                <w:color w:val="FFFFFF"/>
                <w:sz w:val="15"/>
              </w:rPr>
              <w:t>Owned component</w:t>
            </w:r>
          </w:p>
        </w:tc>
        <w:tc>
          <w:tcPr>
            <w:tcW w:type="dxa" w:w="2808"/>
            <w:shd w:fill="0F2035"/>
          </w:tcPr>
          <w:p>
            <w:r>
              <w:rPr>
                <w:b/>
                <w:color w:val="FFFFFF"/>
                <w:sz w:val="15"/>
              </w:rPr>
              <w:t>Shared governance role</w:t>
            </w:r>
          </w:p>
        </w:tc>
      </w:tr>
      <w:tr>
        <w:tc>
          <w:tcPr>
            <w:tcW w:type="dxa" w:w="2088"/>
            <w:vAlign w:val="center"/>
          </w:tcPr>
          <w:p>
            <w:pPr>
              <w:spacing w:after="20"/>
            </w:pPr>
            <w:r>
              <w:rPr>
                <w:color w:val="0F2035"/>
                <w:sz w:val="15"/>
              </w:rPr>
              <w:t>[Member 1]</w:t>
            </w:r>
          </w:p>
        </w:tc>
        <w:tc>
          <w:tcPr>
            <w:tcW w:type="dxa" w:w="4608"/>
            <w:vAlign w:val="center"/>
          </w:tcPr>
          <w:p>
            <w:pPr>
              <w:spacing w:after="20"/>
            </w:pPr>
            <w:r>
              <w:rPr>
                <w:color w:val="0F2035"/>
                <w:sz w:val="15"/>
              </w:rPr>
              <w:t>C1 — Study &amp; schema</w:t>
            </w:r>
          </w:p>
        </w:tc>
        <w:tc>
          <w:tcPr>
            <w:tcW w:type="dxa" w:w="2808"/>
            <w:vAlign w:val="center"/>
          </w:tcPr>
          <w:p>
            <w:pPr>
              <w:spacing w:after="20"/>
            </w:pPr>
            <w:r>
              <w:rPr>
                <w:color w:val="0F2035"/>
                <w:sz w:val="15"/>
              </w:rPr>
              <w:t>[Team lead: assign]</w:t>
            </w:r>
          </w:p>
        </w:tc>
      </w:tr>
      <w:tr>
        <w:tc>
          <w:tcPr>
            <w:tcW w:type="dxa" w:w="2088"/>
            <w:vAlign w:val="center"/>
            <w:shd w:fill="F0F5F7"/>
          </w:tcPr>
          <w:p>
            <w:pPr>
              <w:spacing w:after="20"/>
            </w:pPr>
            <w:r>
              <w:rPr>
                <w:color w:val="0F2035"/>
                <w:sz w:val="15"/>
              </w:rPr>
              <w:t>[Member 2]</w:t>
            </w:r>
          </w:p>
        </w:tc>
        <w:tc>
          <w:tcPr>
            <w:tcW w:type="dxa" w:w="4608"/>
            <w:vAlign w:val="center"/>
            <w:shd w:fill="F0F5F7"/>
          </w:tcPr>
          <w:p>
            <w:pPr>
              <w:spacing w:after="20"/>
            </w:pPr>
            <w:r>
              <w:rPr>
                <w:color w:val="0F2035"/>
                <w:sz w:val="15"/>
              </w:rPr>
              <w:t>C2 — Intake / transcription / safety</w:t>
            </w:r>
          </w:p>
        </w:tc>
        <w:tc>
          <w:tcPr>
            <w:tcW w:type="dxa" w:w="2808"/>
            <w:vAlign w:val="center"/>
            <w:shd w:fill="F0F5F7"/>
          </w:tcPr>
          <w:p>
            <w:pPr>
              <w:spacing w:after="20"/>
            </w:pPr>
            <w:r>
              <w:rPr>
                <w:color w:val="0F2035"/>
                <w:sz w:val="15"/>
              </w:rPr>
              <w:t>[Integration owner: assign]</w:t>
            </w:r>
          </w:p>
        </w:tc>
      </w:tr>
      <w:tr>
        <w:tc>
          <w:tcPr>
            <w:tcW w:type="dxa" w:w="2088"/>
            <w:vAlign w:val="center"/>
          </w:tcPr>
          <w:p>
            <w:pPr>
              <w:spacing w:after="20"/>
            </w:pPr>
            <w:r>
              <w:rPr>
                <w:color w:val="0F2035"/>
                <w:sz w:val="15"/>
              </w:rPr>
              <w:t>[Member 3]</w:t>
            </w:r>
          </w:p>
        </w:tc>
        <w:tc>
          <w:tcPr>
            <w:tcW w:type="dxa" w:w="4608"/>
            <w:vAlign w:val="center"/>
          </w:tcPr>
          <w:p>
            <w:pPr>
              <w:spacing w:after="20"/>
            </w:pPr>
            <w:r>
              <w:rPr>
                <w:color w:val="0F2035"/>
                <w:sz w:val="15"/>
              </w:rPr>
              <w:t>C3 — Structured extraction</w:t>
            </w:r>
          </w:p>
        </w:tc>
        <w:tc>
          <w:tcPr>
            <w:tcW w:type="dxa" w:w="2808"/>
            <w:vAlign w:val="center"/>
          </w:tcPr>
          <w:p>
            <w:pPr>
              <w:spacing w:after="20"/>
            </w:pPr>
            <w:r>
              <w:rPr>
                <w:color w:val="0F2035"/>
                <w:sz w:val="15"/>
              </w:rPr>
              <w:t>—</w:t>
            </w:r>
          </w:p>
        </w:tc>
      </w:tr>
      <w:tr>
        <w:tc>
          <w:tcPr>
            <w:tcW w:type="dxa" w:w="2088"/>
            <w:vAlign w:val="center"/>
            <w:shd w:fill="F0F5F7"/>
          </w:tcPr>
          <w:p>
            <w:pPr>
              <w:spacing w:after="20"/>
            </w:pPr>
            <w:r>
              <w:rPr>
                <w:color w:val="0F2035"/>
                <w:sz w:val="15"/>
              </w:rPr>
              <w:t>[Member 4]</w:t>
            </w:r>
          </w:p>
        </w:tc>
        <w:tc>
          <w:tcPr>
            <w:tcW w:type="dxa" w:w="4608"/>
            <w:vAlign w:val="center"/>
            <w:shd w:fill="F0F5F7"/>
          </w:tcPr>
          <w:p>
            <w:pPr>
              <w:spacing w:after="20"/>
            </w:pPr>
            <w:r>
              <w:rPr>
                <w:color w:val="0F2035"/>
                <w:sz w:val="15"/>
              </w:rPr>
              <w:t>C4 — Evaluation / monitoring / alerts</w:t>
            </w:r>
          </w:p>
        </w:tc>
        <w:tc>
          <w:tcPr>
            <w:tcW w:type="dxa" w:w="2808"/>
            <w:vAlign w:val="center"/>
            <w:shd w:fill="F0F5F7"/>
          </w:tcPr>
          <w:p>
            <w:pPr>
              <w:spacing w:after="20"/>
            </w:pPr>
            <w:r>
              <w:rPr>
                <w:color w:val="0F2035"/>
                <w:sz w:val="15"/>
              </w:rPr>
              <w:t>[Evaluation owner: assign]</w:t>
            </w:r>
          </w:p>
        </w:tc>
      </w:tr>
      <w:tr>
        <w:tc>
          <w:tcPr>
            <w:tcW w:type="dxa" w:w="2088"/>
            <w:vAlign w:val="center"/>
          </w:tcPr>
          <w:p>
            <w:pPr>
              <w:spacing w:after="20"/>
            </w:pPr>
            <w:r>
              <w:rPr>
                <w:color w:val="0F2035"/>
                <w:sz w:val="15"/>
              </w:rPr>
              <w:t>[Member 5]</w:t>
            </w:r>
          </w:p>
        </w:tc>
        <w:tc>
          <w:tcPr>
            <w:tcW w:type="dxa" w:w="4608"/>
            <w:vAlign w:val="center"/>
          </w:tcPr>
          <w:p>
            <w:pPr>
              <w:spacing w:after="20"/>
            </w:pPr>
            <w:r>
              <w:rPr>
                <w:color w:val="0F2035"/>
                <w:sz w:val="15"/>
              </w:rPr>
              <w:t>C5 — Human approval / export</w:t>
            </w:r>
          </w:p>
        </w:tc>
        <w:tc>
          <w:tcPr>
            <w:tcW w:type="dxa" w:w="2808"/>
            <w:vAlign w:val="center"/>
          </w:tcPr>
          <w:p>
            <w:pPr>
              <w:spacing w:after="20"/>
            </w:pPr>
            <w:r>
              <w:rPr>
                <w:color w:val="0F2035"/>
                <w:sz w:val="15"/>
              </w:rPr>
              <w:t>—</w:t>
            </w:r>
          </w:p>
        </w:tc>
      </w:tr>
    </w:tbl>
    <w:p>
      <w:pPr>
        <w:spacing w:after="0"/>
      </w:pPr>
    </w:p>
    <w:p>
      <w:pPr>
        <w:spacing w:after="100"/>
      </w:pPr>
      <w:r>
        <w:rPr>
          <w:color w:val="5D6875"/>
          <w:sz w:val="16"/>
        </w:rPr>
        <w:t>Nice-to-have (outside graded demo): durable database, governed PHI workflow, EHR integration, stable hosted tunnel, organizational roles and access controls, multi-center research management. Not implemented or claimed as production-ready.</w:t>
      </w:r>
    </w:p>
    <w:p>
      <w:r>
        <w:br w:type="page"/>
      </w:r>
    </w:p>
    <w:p>
      <w:pPr>
        <w:pStyle w:val="Title"/>
      </w:pPr>
      <w:r>
        <w:t>C1 — Study &amp; variable schema</w:t>
      </w:r>
    </w:p>
    <w:p>
      <w:pPr>
        <w:spacing w:after="100"/>
      </w:pPr>
      <w:r>
        <w:rPr>
          <w:color w:val="5D6875"/>
          <w:sz w:val="16"/>
        </w:rPr>
        <w:t>A2 WORKFLOW SPEC CARD  |  Functional owner 1 of 5  |  Single integrated n8n deployment</w:t>
      </w:r>
    </w:p>
    <w:tbl>
      <w:tblPr>
        <w:tblStyle w:val="TableGrid"/>
        <w:tblW w:type="auto" w:w="0"/>
        <w:jc w:val="center"/>
        <w:tblLook w:firstColumn="1" w:firstRow="1" w:lastColumn="0" w:lastRow="0" w:noHBand="0" w:noVBand="1" w:val="04A0"/>
      </w:tblPr>
      <w:tblGrid>
        <w:gridCol w:w="5069"/>
        <w:gridCol w:w="5069"/>
      </w:tblGrid>
      <w:tr>
        <w:trPr>
          <w:tblHeader w:val="true"/>
        </w:trPr>
        <w:tc>
          <w:tcPr>
            <w:tcW w:type="dxa" w:w="2016"/>
            <w:shd w:fill="0F2035"/>
          </w:tcPr>
          <w:p>
            <w:r>
              <w:rPr>
                <w:b/>
                <w:color w:val="FFFFFF"/>
                <w:sz w:val="16"/>
              </w:rPr>
              <w:t>A2 field</w:t>
            </w:r>
          </w:p>
        </w:tc>
        <w:tc>
          <w:tcPr>
            <w:tcW w:type="dxa" w:w="7560"/>
            <w:shd w:fill="0F2035"/>
          </w:tcPr>
          <w:p>
            <w:r>
              <w:rPr>
                <w:b/>
                <w:color w:val="FFFFFF"/>
                <w:sz w:val="16"/>
              </w:rPr>
              <w:t>Implementation and contract</w:t>
            </w:r>
          </w:p>
        </w:tc>
      </w:tr>
      <w:tr>
        <w:tc>
          <w:tcPr>
            <w:tcW w:type="dxa" w:w="2016"/>
            <w:vAlign w:val="center"/>
          </w:tcPr>
          <w:p>
            <w:pPr>
              <w:spacing w:after="20"/>
            </w:pPr>
            <w:r>
              <w:rPr>
                <w:color w:val="0F2035"/>
                <w:sz w:val="16"/>
              </w:rPr>
              <w:t>Owner</w:t>
            </w:r>
          </w:p>
        </w:tc>
        <w:tc>
          <w:tcPr>
            <w:tcW w:type="dxa" w:w="7560"/>
            <w:vAlign w:val="center"/>
          </w:tcPr>
          <w:p>
            <w:pPr>
              <w:spacing w:after="20"/>
            </w:pPr>
            <w:r>
              <w:rPr>
                <w:color w:val="0F2035"/>
                <w:sz w:val="16"/>
              </w:rPr>
              <w:t>[Member 1 — confirm]</w:t>
            </w:r>
          </w:p>
        </w:tc>
      </w:tr>
      <w:tr>
        <w:tc>
          <w:tcPr>
            <w:tcW w:type="dxa" w:w="2016"/>
            <w:vAlign w:val="center"/>
            <w:shd w:fill="F0F5F7"/>
          </w:tcPr>
          <w:p>
            <w:pPr>
              <w:spacing w:after="20"/>
            </w:pPr>
            <w:r>
              <w:rPr>
                <w:color w:val="0F2035"/>
                <w:sz w:val="16"/>
              </w:rPr>
              <w:t>Purpose</w:t>
            </w:r>
          </w:p>
        </w:tc>
        <w:tc>
          <w:tcPr>
            <w:tcW w:type="dxa" w:w="7560"/>
            <w:vAlign w:val="center"/>
            <w:shd w:fill="F0F5F7"/>
          </w:tcPr>
          <w:p>
            <w:pPr>
              <w:spacing w:after="20"/>
            </w:pPr>
            <w:r>
              <w:rPr>
                <w:color w:val="0F2035"/>
                <w:sz w:val="16"/>
              </w:rPr>
              <w:t>Define a study and researcher-approved field contract.</w:t>
            </w:r>
          </w:p>
        </w:tc>
      </w:tr>
      <w:tr>
        <w:tc>
          <w:tcPr>
            <w:tcW w:type="dxa" w:w="2016"/>
            <w:vAlign w:val="center"/>
          </w:tcPr>
          <w:p>
            <w:pPr>
              <w:spacing w:after="20"/>
            </w:pPr>
            <w:r>
              <w:rPr>
                <w:color w:val="0F2035"/>
                <w:sz w:val="16"/>
              </w:rPr>
              <w:t>Trigger</w:t>
            </w:r>
          </w:p>
        </w:tc>
        <w:tc>
          <w:tcPr>
            <w:tcW w:type="dxa" w:w="7560"/>
            <w:vAlign w:val="center"/>
          </w:tcPr>
          <w:p>
            <w:pPr>
              <w:spacing w:after="20"/>
            </w:pPr>
            <w:r>
              <w:rPr>
                <w:color w:val="0F2035"/>
                <w:sz w:val="16"/>
              </w:rPr>
              <w:t>/new, study description, schema confirmation/approval, /studies</w:t>
            </w:r>
          </w:p>
        </w:tc>
      </w:tr>
      <w:tr>
        <w:tc>
          <w:tcPr>
            <w:tcW w:type="dxa" w:w="2016"/>
            <w:vAlign w:val="center"/>
            <w:shd w:fill="F0F5F7"/>
          </w:tcPr>
          <w:p>
            <w:pPr>
              <w:spacing w:after="20"/>
            </w:pPr>
            <w:r>
              <w:rPr>
                <w:color w:val="0F2035"/>
                <w:sz w:val="16"/>
              </w:rPr>
              <w:t>Input</w:t>
            </w:r>
          </w:p>
        </w:tc>
        <w:tc>
          <w:tcPr>
            <w:tcW w:type="dxa" w:w="7560"/>
            <w:vAlign w:val="center"/>
            <w:shd w:fill="F0F5F7"/>
          </w:tcPr>
          <w:p>
            <w:pPr>
              <w:spacing w:after="20"/>
            </w:pPr>
            <w:r>
              <w:rPr>
                <w:color w:val="0F2035"/>
                <w:sz w:val="16"/>
              </w:rPr>
              <w:t>study_name; proposed variable speech/text; researcher/user session; study_id</w:t>
            </w:r>
          </w:p>
        </w:tc>
      </w:tr>
      <w:tr>
        <w:tc>
          <w:tcPr>
            <w:tcW w:type="dxa" w:w="2016"/>
            <w:vAlign w:val="center"/>
          </w:tcPr>
          <w:p>
            <w:pPr>
              <w:spacing w:after="20"/>
            </w:pPr>
            <w:r>
              <w:rPr>
                <w:color w:val="0F2035"/>
                <w:sz w:val="16"/>
              </w:rPr>
              <w:t>Steps</w:t>
            </w:r>
          </w:p>
        </w:tc>
        <w:tc>
          <w:tcPr>
            <w:tcW w:type="dxa" w:w="7560"/>
            <w:vAlign w:val="center"/>
          </w:tcPr>
          <w:p>
            <w:pPr>
              <w:spacing w:after="20"/>
            </w:pPr>
            <w:r>
              <w:rPr>
                <w:color w:val="0F2035"/>
                <w:sz w:val="16"/>
              </w:rPr>
              <w:t>Create/select study; capture variable description; extract JSON schema via Gemini; validate field types, units and allowed values; show preview; store only after researcher approval.</w:t>
            </w:r>
          </w:p>
        </w:tc>
      </w:tr>
      <w:tr>
        <w:tc>
          <w:tcPr>
            <w:tcW w:type="dxa" w:w="2016"/>
            <w:vAlign w:val="center"/>
            <w:shd w:fill="F0F5F7"/>
          </w:tcPr>
          <w:p>
            <w:pPr>
              <w:spacing w:after="20"/>
            </w:pPr>
            <w:r>
              <w:rPr>
                <w:color w:val="0F2035"/>
                <w:sz w:val="16"/>
              </w:rPr>
              <w:t>AI component</w:t>
            </w:r>
          </w:p>
        </w:tc>
        <w:tc>
          <w:tcPr>
            <w:tcW w:type="dxa" w:w="7560"/>
            <w:vAlign w:val="center"/>
            <w:shd w:fill="F0F5F7"/>
          </w:tcPr>
          <w:p>
            <w:pPr>
              <w:spacing w:after="20"/>
            </w:pPr>
            <w:r>
              <w:rPr>
                <w:color w:val="0F2035"/>
                <w:sz w:val="16"/>
              </w:rPr>
              <w:t>Gemini structured schema parsing; not a clinical decision model.</w:t>
            </w:r>
          </w:p>
        </w:tc>
      </w:tr>
      <w:tr>
        <w:tc>
          <w:tcPr>
            <w:tcW w:type="dxa" w:w="2016"/>
            <w:vAlign w:val="center"/>
          </w:tcPr>
          <w:p>
            <w:pPr>
              <w:spacing w:after="20"/>
            </w:pPr>
            <w:r>
              <w:rPr>
                <w:color w:val="0F2035"/>
                <w:sz w:val="16"/>
              </w:rPr>
              <w:t>Tools / data</w:t>
            </w:r>
          </w:p>
        </w:tc>
        <w:tc>
          <w:tcPr>
            <w:tcW w:type="dxa" w:w="7560"/>
            <w:vAlign w:val="center"/>
          </w:tcPr>
          <w:p>
            <w:pPr>
              <w:spacing w:after="20"/>
            </w:pPr>
            <w:r>
              <w:rPr>
                <w:color w:val="0F2035"/>
                <w:sz w:val="16"/>
              </w:rPr>
              <w:t>Telegram, n8n Code, Gemini HTTP API, workflow static data.</w:t>
            </w:r>
          </w:p>
        </w:tc>
      </w:tr>
      <w:tr>
        <w:tc>
          <w:tcPr>
            <w:tcW w:type="dxa" w:w="2016"/>
            <w:vAlign w:val="center"/>
            <w:shd w:fill="F0F5F7"/>
          </w:tcPr>
          <w:p>
            <w:pPr>
              <w:spacing w:after="20"/>
            </w:pPr>
            <w:r>
              <w:rPr>
                <w:color w:val="0F2035"/>
                <w:sz w:val="16"/>
              </w:rPr>
              <w:t>Output</w:t>
            </w:r>
          </w:p>
        </w:tc>
        <w:tc>
          <w:tcPr>
            <w:tcW w:type="dxa" w:w="7560"/>
            <w:vAlign w:val="center"/>
            <w:shd w:fill="F0F5F7"/>
          </w:tcPr>
          <w:p>
            <w:pPr>
              <w:spacing w:after="20"/>
            </w:pPr>
            <w:r>
              <w:rPr>
                <w:color w:val="0F2035"/>
                <w:sz w:val="16"/>
              </w:rPr>
              <w:t>study_id; study_name; variables[{name,definition,data_type,unit,allowed_values,validation_rules}]; schema_approved_at.</w:t>
            </w:r>
          </w:p>
        </w:tc>
      </w:tr>
      <w:tr>
        <w:tc>
          <w:tcPr>
            <w:tcW w:type="dxa" w:w="2016"/>
            <w:vAlign w:val="center"/>
          </w:tcPr>
          <w:p>
            <w:pPr>
              <w:spacing w:after="20"/>
            </w:pPr>
            <w:r>
              <w:rPr>
                <w:color w:val="0F2035"/>
                <w:sz w:val="16"/>
              </w:rPr>
              <w:t>Human approval</w:t>
            </w:r>
          </w:p>
        </w:tc>
        <w:tc>
          <w:tcPr>
            <w:tcW w:type="dxa" w:w="7560"/>
            <w:vAlign w:val="center"/>
          </w:tcPr>
          <w:p>
            <w:pPr>
              <w:spacing w:after="20"/>
            </w:pPr>
            <w:r>
              <w:rPr>
                <w:color w:val="0F2035"/>
                <w:sz w:val="16"/>
              </w:rPr>
              <w:t>Researcher approves variable schema before use.</w:t>
            </w:r>
          </w:p>
        </w:tc>
      </w:tr>
      <w:tr>
        <w:tc>
          <w:tcPr>
            <w:tcW w:type="dxa" w:w="2016"/>
            <w:vAlign w:val="center"/>
            <w:shd w:fill="F0F5F7"/>
          </w:tcPr>
          <w:p>
            <w:pPr>
              <w:spacing w:after="20"/>
            </w:pPr>
            <w:r>
              <w:rPr>
                <w:color w:val="0F2035"/>
                <w:sz w:val="16"/>
              </w:rPr>
              <w:t>Failure behavior</w:t>
            </w:r>
          </w:p>
        </w:tc>
        <w:tc>
          <w:tcPr>
            <w:tcW w:type="dxa" w:w="7560"/>
            <w:vAlign w:val="center"/>
            <w:shd w:fill="F0F5F7"/>
          </w:tcPr>
          <w:p>
            <w:pPr>
              <w:spacing w:after="20"/>
            </w:pPr>
            <w:r>
              <w:rPr>
                <w:color w:val="0F2035"/>
                <w:sz w:val="16"/>
              </w:rPr>
              <w:t>On invalid/ambiguous fields ask for clarification; no active schema until approval.</w:t>
            </w:r>
          </w:p>
        </w:tc>
      </w:tr>
      <w:tr>
        <w:tc>
          <w:tcPr>
            <w:tcW w:type="dxa" w:w="2016"/>
            <w:vAlign w:val="center"/>
          </w:tcPr>
          <w:p>
            <w:pPr>
              <w:spacing w:after="20"/>
            </w:pPr>
            <w:r>
              <w:rPr>
                <w:color w:val="0F2035"/>
                <w:sz w:val="16"/>
              </w:rPr>
              <w:t>Risk tier</w:t>
            </w:r>
          </w:p>
        </w:tc>
        <w:tc>
          <w:tcPr>
            <w:tcW w:type="dxa" w:w="7560"/>
            <w:vAlign w:val="center"/>
          </w:tcPr>
          <w:p>
            <w:pPr>
              <w:spacing w:after="20"/>
            </w:pPr>
            <w:r>
              <w:rPr>
                <w:color w:val="0F2035"/>
                <w:sz w:val="16"/>
              </w:rPr>
              <w:t>Medium: wrong schema cascades into records.</w:t>
            </w:r>
          </w:p>
        </w:tc>
      </w:tr>
      <w:tr>
        <w:tc>
          <w:tcPr>
            <w:tcW w:type="dxa" w:w="2016"/>
            <w:vAlign w:val="center"/>
            <w:shd w:fill="F0F5F7"/>
          </w:tcPr>
          <w:p>
            <w:pPr>
              <w:spacing w:after="20"/>
            </w:pPr>
            <w:r>
              <w:rPr>
                <w:color w:val="0F2035"/>
                <w:sz w:val="16"/>
              </w:rPr>
              <w:t>Logging / tracing</w:t>
            </w:r>
          </w:p>
        </w:tc>
        <w:tc>
          <w:tcPr>
            <w:tcW w:type="dxa" w:w="7560"/>
            <w:vAlign w:val="center"/>
            <w:shd w:fill="F0F5F7"/>
          </w:tcPr>
          <w:p>
            <w:pPr>
              <w:spacing w:after="20"/>
            </w:pPr>
            <w:r>
              <w:rPr>
                <w:color w:val="0F2035"/>
                <w:sz w:val="16"/>
              </w:rPr>
              <w:t>Approval callback; schema parsing failure; sample normal/edge/unsafe tests to document.</w:t>
            </w:r>
          </w:p>
        </w:tc>
      </w:tr>
      <w:tr>
        <w:tc>
          <w:tcPr>
            <w:tcW w:type="dxa" w:w="2016"/>
            <w:vAlign w:val="center"/>
          </w:tcPr>
          <w:p>
            <w:pPr>
              <w:spacing w:after="20"/>
            </w:pPr>
            <w:r>
              <w:rPr>
                <w:color w:val="0F2035"/>
                <w:sz w:val="16"/>
              </w:rPr>
              <w:t>Test cases (planned)</w:t>
            </w:r>
          </w:p>
        </w:tc>
        <w:tc>
          <w:tcPr>
            <w:tcW w:type="dxa" w:w="7560"/>
            <w:vAlign w:val="center"/>
          </w:tcPr>
          <w:p>
            <w:pPr>
              <w:spacing w:after="20"/>
            </w:pPr>
            <w:r>
              <w:rPr>
                <w:color w:val="0F2035"/>
                <w:sz w:val="16"/>
              </w:rPr>
              <w:t>N1 new study with Age/HbA1c; N2 3-variable schema; N3 reselect approved study; EDGE undefined field type; UNSAFE identifying field request. RESULTS PENDING.</w:t>
            </w:r>
          </w:p>
        </w:tc>
      </w:tr>
    </w:tbl>
    <w:p>
      <w:pPr>
        <w:spacing w:after="0"/>
      </w:pPr>
    </w:p>
    <w:p>
      <w:pPr>
        <w:spacing w:after="100"/>
      </w:pPr>
      <w:r>
        <w:rPr>
          <w:color w:val="5D6875"/>
          <w:sz w:val="16"/>
        </w:rPr>
        <w:t>Implementation note: boundaries are FUNCTIONAL ownership sections within one integrated n8n workflow, as approved by instructor; not five independently deployed automations.</w:t>
      </w:r>
    </w:p>
    <w:p>
      <w:r>
        <w:br w:type="page"/>
      </w:r>
    </w:p>
    <w:p>
      <w:pPr>
        <w:pStyle w:val="Title"/>
      </w:pPr>
      <w:r>
        <w:t>C2 — Voice/text intake &amp; privacy gate</w:t>
      </w:r>
    </w:p>
    <w:p>
      <w:pPr>
        <w:spacing w:after="100"/>
      </w:pPr>
      <w:r>
        <w:rPr>
          <w:color w:val="5D6875"/>
          <w:sz w:val="16"/>
        </w:rPr>
        <w:t>A2 WORKFLOW SPEC CARD  |  Functional owner 2 of 5  |  Single integrated n8n deployment</w:t>
      </w:r>
    </w:p>
    <w:tbl>
      <w:tblPr>
        <w:tblStyle w:val="TableGrid"/>
        <w:tblW w:type="auto" w:w="0"/>
        <w:jc w:val="center"/>
        <w:tblLook w:firstColumn="1" w:firstRow="1" w:lastColumn="0" w:lastRow="0" w:noHBand="0" w:noVBand="1" w:val="04A0"/>
      </w:tblPr>
      <w:tblGrid>
        <w:gridCol w:w="5069"/>
        <w:gridCol w:w="5069"/>
      </w:tblGrid>
      <w:tr>
        <w:trPr>
          <w:tblHeader w:val="true"/>
        </w:trPr>
        <w:tc>
          <w:tcPr>
            <w:tcW w:type="dxa" w:w="2016"/>
            <w:shd w:fill="0F2035"/>
          </w:tcPr>
          <w:p>
            <w:r>
              <w:rPr>
                <w:b/>
                <w:color w:val="FFFFFF"/>
                <w:sz w:val="16"/>
              </w:rPr>
              <w:t>A2 field</w:t>
            </w:r>
          </w:p>
        </w:tc>
        <w:tc>
          <w:tcPr>
            <w:tcW w:type="dxa" w:w="7560"/>
            <w:shd w:fill="0F2035"/>
          </w:tcPr>
          <w:p>
            <w:r>
              <w:rPr>
                <w:b/>
                <w:color w:val="FFFFFF"/>
                <w:sz w:val="16"/>
              </w:rPr>
              <w:t>Implementation and contract</w:t>
            </w:r>
          </w:p>
        </w:tc>
      </w:tr>
      <w:tr>
        <w:tc>
          <w:tcPr>
            <w:tcW w:type="dxa" w:w="2016"/>
            <w:vAlign w:val="center"/>
          </w:tcPr>
          <w:p>
            <w:pPr>
              <w:spacing w:after="20"/>
            </w:pPr>
            <w:r>
              <w:rPr>
                <w:color w:val="0F2035"/>
                <w:sz w:val="16"/>
              </w:rPr>
              <w:t>Owner</w:t>
            </w:r>
          </w:p>
        </w:tc>
        <w:tc>
          <w:tcPr>
            <w:tcW w:type="dxa" w:w="7560"/>
            <w:vAlign w:val="center"/>
          </w:tcPr>
          <w:p>
            <w:pPr>
              <w:spacing w:after="20"/>
            </w:pPr>
            <w:r>
              <w:rPr>
                <w:color w:val="0F2035"/>
                <w:sz w:val="16"/>
              </w:rPr>
              <w:t>[Member 2 — confirm]</w:t>
            </w:r>
          </w:p>
        </w:tc>
      </w:tr>
      <w:tr>
        <w:tc>
          <w:tcPr>
            <w:tcW w:type="dxa" w:w="2016"/>
            <w:vAlign w:val="center"/>
            <w:shd w:fill="F0F5F7"/>
          </w:tcPr>
          <w:p>
            <w:pPr>
              <w:spacing w:after="20"/>
            </w:pPr>
            <w:r>
              <w:rPr>
                <w:color w:val="0F2035"/>
                <w:sz w:val="16"/>
              </w:rPr>
              <w:t>Purpose</w:t>
            </w:r>
          </w:p>
        </w:tc>
        <w:tc>
          <w:tcPr>
            <w:tcW w:type="dxa" w:w="7560"/>
            <w:vAlign w:val="center"/>
            <w:shd w:fill="F0F5F7"/>
          </w:tcPr>
          <w:p>
            <w:pPr>
              <w:spacing w:after="20"/>
            </w:pPr>
            <w:r>
              <w:rPr>
                <w:color w:val="0F2035"/>
                <w:sz w:val="16"/>
              </w:rPr>
              <w:t>Accept fictional case visits, screen input and make a confirmed transcript.</w:t>
            </w:r>
          </w:p>
        </w:tc>
      </w:tr>
      <w:tr>
        <w:tc>
          <w:tcPr>
            <w:tcW w:type="dxa" w:w="2016"/>
            <w:vAlign w:val="center"/>
          </w:tcPr>
          <w:p>
            <w:pPr>
              <w:spacing w:after="20"/>
            </w:pPr>
            <w:r>
              <w:rPr>
                <w:color w:val="0F2035"/>
                <w:sz w:val="16"/>
              </w:rPr>
              <w:t>Trigger</w:t>
            </w:r>
          </w:p>
        </w:tc>
        <w:tc>
          <w:tcPr>
            <w:tcW w:type="dxa" w:w="7560"/>
            <w:vAlign w:val="center"/>
          </w:tcPr>
          <w:p>
            <w:pPr>
              <w:spacing w:after="20"/>
            </w:pPr>
            <w:r>
              <w:rPr>
                <w:color w:val="0F2035"/>
                <w:sz w:val="16"/>
              </w:rPr>
              <w:t>/case, /visit, date, case text or opted-in voice; Telegram Trigger</w:t>
            </w:r>
          </w:p>
        </w:tc>
      </w:tr>
      <w:tr>
        <w:tc>
          <w:tcPr>
            <w:tcW w:type="dxa" w:w="2016"/>
            <w:vAlign w:val="center"/>
            <w:shd w:fill="F0F5F7"/>
          </w:tcPr>
          <w:p>
            <w:pPr>
              <w:spacing w:after="20"/>
            </w:pPr>
            <w:r>
              <w:rPr>
                <w:color w:val="0F2035"/>
                <w:sz w:val="16"/>
              </w:rPr>
              <w:t>Input</w:t>
            </w:r>
          </w:p>
        </w:tc>
        <w:tc>
          <w:tcPr>
            <w:tcW w:type="dxa" w:w="7560"/>
            <w:vAlign w:val="center"/>
            <w:shd w:fill="F0F5F7"/>
          </w:tcPr>
          <w:p>
            <w:pPr>
              <w:spacing w:after="20"/>
            </w:pPr>
            <w:r>
              <w:rPr>
                <w:color w:val="0F2035"/>
                <w:sz w:val="16"/>
              </w:rPr>
              <w:t>user_id/chat_id (internal routing), study_id, case_code, visit_number, visit_date, file_id or text.</w:t>
            </w:r>
          </w:p>
        </w:tc>
      </w:tr>
      <w:tr>
        <w:tc>
          <w:tcPr>
            <w:tcW w:type="dxa" w:w="2016"/>
            <w:vAlign w:val="center"/>
          </w:tcPr>
          <w:p>
            <w:pPr>
              <w:spacing w:after="20"/>
            </w:pPr>
            <w:r>
              <w:rPr>
                <w:color w:val="0F2035"/>
                <w:sz w:val="16"/>
              </w:rPr>
              <w:t>Steps</w:t>
            </w:r>
          </w:p>
        </w:tc>
        <w:tc>
          <w:tcPr>
            <w:tcW w:type="dxa" w:w="7560"/>
            <w:vAlign w:val="center"/>
          </w:tcPr>
          <w:p>
            <w:pPr>
              <w:spacing w:after="20"/>
            </w:pPr>
            <w:r>
              <w:rPr>
                <w:color w:val="0F2035"/>
                <w:sz w:val="16"/>
              </w:rPr>
              <w:t>Validate synthetic case code and explicit date; screen new text; optionally fetch audio; rename .oga to .ogg; call Groq; screen transcript; show transcript confirmation; route verified text.</w:t>
            </w:r>
          </w:p>
        </w:tc>
      </w:tr>
      <w:tr>
        <w:tc>
          <w:tcPr>
            <w:tcW w:type="dxa" w:w="2016"/>
            <w:vAlign w:val="center"/>
            <w:shd w:fill="F0F5F7"/>
          </w:tcPr>
          <w:p>
            <w:pPr>
              <w:spacing w:after="20"/>
            </w:pPr>
            <w:r>
              <w:rPr>
                <w:color w:val="0F2035"/>
                <w:sz w:val="16"/>
              </w:rPr>
              <w:t>AI component</w:t>
            </w:r>
          </w:p>
        </w:tc>
        <w:tc>
          <w:tcPr>
            <w:tcW w:type="dxa" w:w="7560"/>
            <w:vAlign w:val="center"/>
            <w:shd w:fill="F0F5F7"/>
          </w:tcPr>
          <w:p>
            <w:pPr>
              <w:spacing w:after="20"/>
            </w:pPr>
            <w:r>
              <w:rPr>
                <w:color w:val="0F2035"/>
                <w:sz w:val="16"/>
              </w:rPr>
              <w:t>Groq Whisper large-v3-turbo for speech recognition; regex-based safety screening.</w:t>
            </w:r>
          </w:p>
        </w:tc>
      </w:tr>
      <w:tr>
        <w:tc>
          <w:tcPr>
            <w:tcW w:type="dxa" w:w="2016"/>
            <w:vAlign w:val="center"/>
          </w:tcPr>
          <w:p>
            <w:pPr>
              <w:spacing w:after="20"/>
            </w:pPr>
            <w:r>
              <w:rPr>
                <w:color w:val="0F2035"/>
                <w:sz w:val="16"/>
              </w:rPr>
              <w:t>Tools / data</w:t>
            </w:r>
          </w:p>
        </w:tc>
        <w:tc>
          <w:tcPr>
            <w:tcW w:type="dxa" w:w="7560"/>
            <w:vAlign w:val="center"/>
          </w:tcPr>
          <w:p>
            <w:pPr>
              <w:spacing w:after="20"/>
            </w:pPr>
            <w:r>
              <w:rPr>
                <w:color w:val="0F2035"/>
                <w:sz w:val="16"/>
              </w:rPr>
              <w:t>Telegram, Groq API, n8n Code, Cloudflare tunnel.</w:t>
            </w:r>
          </w:p>
        </w:tc>
      </w:tr>
      <w:tr>
        <w:tc>
          <w:tcPr>
            <w:tcW w:type="dxa" w:w="2016"/>
            <w:vAlign w:val="center"/>
            <w:shd w:fill="F0F5F7"/>
          </w:tcPr>
          <w:p>
            <w:pPr>
              <w:spacing w:after="20"/>
            </w:pPr>
            <w:r>
              <w:rPr>
                <w:color w:val="0F2035"/>
                <w:sz w:val="16"/>
              </w:rPr>
              <w:t>Output</w:t>
            </w:r>
          </w:p>
        </w:tc>
        <w:tc>
          <w:tcPr>
            <w:tcW w:type="dxa" w:w="7560"/>
            <w:vAlign w:val="center"/>
            <w:shd w:fill="F0F5F7"/>
          </w:tcPr>
          <w:p>
            <w:pPr>
              <w:spacing w:after="20"/>
            </w:pPr>
            <w:r>
              <w:rPr>
                <w:color w:val="0F2035"/>
                <w:sz w:val="16"/>
              </w:rPr>
              <w:t>case_id, visit_id, visit_date, pending_transcript, transcript_kind, safety disposition.</w:t>
            </w:r>
          </w:p>
        </w:tc>
      </w:tr>
      <w:tr>
        <w:tc>
          <w:tcPr>
            <w:tcW w:type="dxa" w:w="2016"/>
            <w:vAlign w:val="center"/>
          </w:tcPr>
          <w:p>
            <w:pPr>
              <w:spacing w:after="20"/>
            </w:pPr>
            <w:r>
              <w:rPr>
                <w:color w:val="0F2035"/>
                <w:sz w:val="16"/>
              </w:rPr>
              <w:t>Human approval</w:t>
            </w:r>
          </w:p>
        </w:tc>
        <w:tc>
          <w:tcPr>
            <w:tcW w:type="dxa" w:w="7560"/>
            <w:vAlign w:val="center"/>
          </w:tcPr>
          <w:p>
            <w:pPr>
              <w:spacing w:after="20"/>
            </w:pPr>
            <w:r>
              <w:rPr>
                <w:color w:val="0F2035"/>
                <w:sz w:val="16"/>
              </w:rPr>
              <w:t>Researcher confirms transcript; opt-in /voiceon acknowledges external audio processing.</w:t>
            </w:r>
          </w:p>
        </w:tc>
      </w:tr>
      <w:tr>
        <w:tc>
          <w:tcPr>
            <w:tcW w:type="dxa" w:w="2016"/>
            <w:vAlign w:val="center"/>
            <w:shd w:fill="F0F5F7"/>
          </w:tcPr>
          <w:p>
            <w:pPr>
              <w:spacing w:after="20"/>
            </w:pPr>
            <w:r>
              <w:rPr>
                <w:color w:val="0F2035"/>
                <w:sz w:val="16"/>
              </w:rPr>
              <w:t>Failure behavior</w:t>
            </w:r>
          </w:p>
        </w:tc>
        <w:tc>
          <w:tcPr>
            <w:tcW w:type="dxa" w:w="7560"/>
            <w:vAlign w:val="center"/>
            <w:shd w:fill="F0F5F7"/>
          </w:tcPr>
          <w:p>
            <w:pPr>
              <w:spacing w:after="20"/>
            </w:pPr>
            <w:r>
              <w:rPr>
                <w:color w:val="0F2035"/>
                <w:sz w:val="16"/>
              </w:rPr>
              <w:t>Reject apparent identifiers/prompt injection/clinical requests; retry transcription or request typed input.</w:t>
            </w:r>
          </w:p>
        </w:tc>
      </w:tr>
      <w:tr>
        <w:tc>
          <w:tcPr>
            <w:tcW w:type="dxa" w:w="2016"/>
            <w:vAlign w:val="center"/>
          </w:tcPr>
          <w:p>
            <w:pPr>
              <w:spacing w:after="20"/>
            </w:pPr>
            <w:r>
              <w:rPr>
                <w:color w:val="0F2035"/>
                <w:sz w:val="16"/>
              </w:rPr>
              <w:t>Risk tier</w:t>
            </w:r>
          </w:p>
        </w:tc>
        <w:tc>
          <w:tcPr>
            <w:tcW w:type="dxa" w:w="7560"/>
            <w:vAlign w:val="center"/>
          </w:tcPr>
          <w:p>
            <w:pPr>
              <w:spacing w:after="20"/>
            </w:pPr>
            <w:r>
              <w:rPr>
                <w:color w:val="0F2035"/>
                <w:sz w:val="16"/>
              </w:rPr>
              <w:t>High: raw demo audio reaches Groq BEFORE transcript inspection; prohibit real patient audio.</w:t>
            </w:r>
          </w:p>
        </w:tc>
      </w:tr>
      <w:tr>
        <w:tc>
          <w:tcPr>
            <w:tcW w:type="dxa" w:w="2016"/>
            <w:vAlign w:val="center"/>
            <w:shd w:fill="F0F5F7"/>
          </w:tcPr>
          <w:p>
            <w:pPr>
              <w:spacing w:after="20"/>
            </w:pPr>
            <w:r>
              <w:rPr>
                <w:color w:val="0F2035"/>
                <w:sz w:val="16"/>
              </w:rPr>
              <w:t>Logging / tracing</w:t>
            </w:r>
          </w:p>
        </w:tc>
        <w:tc>
          <w:tcPr>
            <w:tcW w:type="dxa" w:w="7560"/>
            <w:vAlign w:val="center"/>
            <w:shd w:fill="F0F5F7"/>
          </w:tcPr>
          <w:p>
            <w:pPr>
              <w:spacing w:after="20"/>
            </w:pPr>
            <w:r>
              <w:rPr>
                <w:color w:val="0F2035"/>
                <w:sz w:val="16"/>
              </w:rPr>
              <w:t>Record synthetic rejection category, STT failures, handoff status; no raw audio in LangSmith.</w:t>
            </w:r>
          </w:p>
        </w:tc>
      </w:tr>
      <w:tr>
        <w:tc>
          <w:tcPr>
            <w:tcW w:type="dxa" w:w="2016"/>
            <w:vAlign w:val="center"/>
          </w:tcPr>
          <w:p>
            <w:pPr>
              <w:spacing w:after="20"/>
            </w:pPr>
            <w:r>
              <w:rPr>
                <w:color w:val="0F2035"/>
                <w:sz w:val="16"/>
              </w:rPr>
              <w:t>Test cases (planned)</w:t>
            </w:r>
          </w:p>
        </w:tc>
        <w:tc>
          <w:tcPr>
            <w:tcW w:type="dxa" w:w="7560"/>
            <w:vAlign w:val="center"/>
          </w:tcPr>
          <w:p>
            <w:pPr>
              <w:spacing w:after="20"/>
            </w:pPr>
            <w:r>
              <w:rPr>
                <w:color w:val="0F2035"/>
                <w:sz w:val="16"/>
              </w:rPr>
              <w:t>N1 typed synthetic case; N2 clean voice; N3 follow-up visit; EDGE ambiguous transcription; UNSAFE synthetic identifier pattern. RESULTS PENDING.</w:t>
            </w:r>
          </w:p>
        </w:tc>
      </w:tr>
    </w:tbl>
    <w:p>
      <w:pPr>
        <w:spacing w:after="0"/>
      </w:pPr>
    </w:p>
    <w:p>
      <w:pPr>
        <w:spacing w:after="100"/>
      </w:pPr>
      <w:r>
        <w:rPr>
          <w:color w:val="5D6875"/>
          <w:sz w:val="16"/>
        </w:rPr>
        <w:t>Implementation note: boundaries are FUNCTIONAL ownership sections within one integrated n8n workflow, as approved by instructor; not five independently deployed automations.</w:t>
      </w:r>
    </w:p>
    <w:p>
      <w:r>
        <w:br w:type="page"/>
      </w:r>
    </w:p>
    <w:p>
      <w:pPr>
        <w:pStyle w:val="Title"/>
      </w:pPr>
      <w:r>
        <w:t>C3 — Schema-constrained extraction</w:t>
      </w:r>
    </w:p>
    <w:p>
      <w:pPr>
        <w:spacing w:after="100"/>
      </w:pPr>
      <w:r>
        <w:rPr>
          <w:color w:val="5D6875"/>
          <w:sz w:val="16"/>
        </w:rPr>
        <w:t>A2 WORKFLOW SPEC CARD  |  Functional owner 3 of 5  |  Single integrated n8n deployment</w:t>
      </w:r>
    </w:p>
    <w:tbl>
      <w:tblPr>
        <w:tblStyle w:val="TableGrid"/>
        <w:tblW w:type="auto" w:w="0"/>
        <w:jc w:val="center"/>
        <w:tblLook w:firstColumn="1" w:firstRow="1" w:lastColumn="0" w:lastRow="0" w:noHBand="0" w:noVBand="1" w:val="04A0"/>
      </w:tblPr>
      <w:tblGrid>
        <w:gridCol w:w="5069"/>
        <w:gridCol w:w="5069"/>
      </w:tblGrid>
      <w:tr>
        <w:trPr>
          <w:tblHeader w:val="true"/>
        </w:trPr>
        <w:tc>
          <w:tcPr>
            <w:tcW w:type="dxa" w:w="2016"/>
            <w:shd w:fill="0F2035"/>
          </w:tcPr>
          <w:p>
            <w:r>
              <w:rPr>
                <w:b/>
                <w:color w:val="FFFFFF"/>
                <w:sz w:val="16"/>
              </w:rPr>
              <w:t>A2 field</w:t>
            </w:r>
          </w:p>
        </w:tc>
        <w:tc>
          <w:tcPr>
            <w:tcW w:type="dxa" w:w="7560"/>
            <w:shd w:fill="0F2035"/>
          </w:tcPr>
          <w:p>
            <w:r>
              <w:rPr>
                <w:b/>
                <w:color w:val="FFFFFF"/>
                <w:sz w:val="16"/>
              </w:rPr>
              <w:t>Implementation and contract</w:t>
            </w:r>
          </w:p>
        </w:tc>
      </w:tr>
      <w:tr>
        <w:tc>
          <w:tcPr>
            <w:tcW w:type="dxa" w:w="2016"/>
            <w:vAlign w:val="center"/>
          </w:tcPr>
          <w:p>
            <w:pPr>
              <w:spacing w:after="20"/>
            </w:pPr>
            <w:r>
              <w:rPr>
                <w:color w:val="0F2035"/>
                <w:sz w:val="16"/>
              </w:rPr>
              <w:t>Owner</w:t>
            </w:r>
          </w:p>
        </w:tc>
        <w:tc>
          <w:tcPr>
            <w:tcW w:type="dxa" w:w="7560"/>
            <w:vAlign w:val="center"/>
          </w:tcPr>
          <w:p>
            <w:pPr>
              <w:spacing w:after="20"/>
            </w:pPr>
            <w:r>
              <w:rPr>
                <w:color w:val="0F2035"/>
                <w:sz w:val="16"/>
              </w:rPr>
              <w:t>[Member 3 — confirm]</w:t>
            </w:r>
          </w:p>
        </w:tc>
      </w:tr>
      <w:tr>
        <w:tc>
          <w:tcPr>
            <w:tcW w:type="dxa" w:w="2016"/>
            <w:vAlign w:val="center"/>
            <w:shd w:fill="F0F5F7"/>
          </w:tcPr>
          <w:p>
            <w:pPr>
              <w:spacing w:after="20"/>
            </w:pPr>
            <w:r>
              <w:rPr>
                <w:color w:val="0F2035"/>
                <w:sz w:val="16"/>
              </w:rPr>
              <w:t>Purpose</w:t>
            </w:r>
          </w:p>
        </w:tc>
        <w:tc>
          <w:tcPr>
            <w:tcW w:type="dxa" w:w="7560"/>
            <w:vAlign w:val="center"/>
            <w:shd w:fill="F0F5F7"/>
          </w:tcPr>
          <w:p>
            <w:pPr>
              <w:spacing w:after="20"/>
            </w:pPr>
            <w:r>
              <w:rPr>
                <w:color w:val="0F2035"/>
                <w:sz w:val="16"/>
              </w:rPr>
              <w:t>Convert verified research observations into approved structured variables with evidence.</w:t>
            </w:r>
          </w:p>
        </w:tc>
      </w:tr>
      <w:tr>
        <w:tc>
          <w:tcPr>
            <w:tcW w:type="dxa" w:w="2016"/>
            <w:vAlign w:val="center"/>
          </w:tcPr>
          <w:p>
            <w:pPr>
              <w:spacing w:after="20"/>
            </w:pPr>
            <w:r>
              <w:rPr>
                <w:color w:val="0F2035"/>
                <w:sz w:val="16"/>
              </w:rPr>
              <w:t>Trigger</w:t>
            </w:r>
          </w:p>
        </w:tc>
        <w:tc>
          <w:tcPr>
            <w:tcW w:type="dxa" w:w="7560"/>
            <w:vAlign w:val="center"/>
          </w:tcPr>
          <w:p>
            <w:pPr>
              <w:spacing w:after="20"/>
            </w:pPr>
            <w:r>
              <w:rPr>
                <w:color w:val="0F2035"/>
                <w:sz w:val="16"/>
              </w:rPr>
              <w:t>Confirmed transcript with approved schema; schema_ai / values_ai route</w:t>
            </w:r>
          </w:p>
        </w:tc>
      </w:tr>
      <w:tr>
        <w:tc>
          <w:tcPr>
            <w:tcW w:type="dxa" w:w="2016"/>
            <w:vAlign w:val="center"/>
            <w:shd w:fill="F0F5F7"/>
          </w:tcPr>
          <w:p>
            <w:pPr>
              <w:spacing w:after="20"/>
            </w:pPr>
            <w:r>
              <w:rPr>
                <w:color w:val="0F2035"/>
                <w:sz w:val="16"/>
              </w:rPr>
              <w:t>Input</w:t>
            </w:r>
          </w:p>
        </w:tc>
        <w:tc>
          <w:tcPr>
            <w:tcW w:type="dxa" w:w="7560"/>
            <w:vAlign w:val="center"/>
            <w:shd w:fill="F0F5F7"/>
          </w:tcPr>
          <w:p>
            <w:pPr>
              <w:spacing w:after="20"/>
            </w:pPr>
            <w:r>
              <w:rPr>
                <w:color w:val="0F2035"/>
                <w:sz w:val="16"/>
              </w:rPr>
              <w:t>study.variables, pending_transcript, study_id, case_id, visit_id, visit_date.</w:t>
            </w:r>
          </w:p>
        </w:tc>
      </w:tr>
      <w:tr>
        <w:tc>
          <w:tcPr>
            <w:tcW w:type="dxa" w:w="2016"/>
            <w:vAlign w:val="center"/>
          </w:tcPr>
          <w:p>
            <w:pPr>
              <w:spacing w:after="20"/>
            </w:pPr>
            <w:r>
              <w:rPr>
                <w:color w:val="0F2035"/>
                <w:sz w:val="16"/>
              </w:rPr>
              <w:t>Steps</w:t>
            </w:r>
          </w:p>
        </w:tc>
        <w:tc>
          <w:tcPr>
            <w:tcW w:type="dxa" w:w="7560"/>
            <w:vAlign w:val="center"/>
          </w:tcPr>
          <w:p>
            <w:pPr>
              <w:spacing w:after="20"/>
            </w:pPr>
            <w:r>
              <w:rPr>
                <w:color w:val="0F2035"/>
                <w:sz w:val="16"/>
              </w:rPr>
              <w:t>Build restricted prompt; Gemini structured extraction; JSON parse and type validation; verify verbatim evidence; flag conflicts, missing and unknown variables; create draft.</w:t>
            </w:r>
          </w:p>
        </w:tc>
      </w:tr>
      <w:tr>
        <w:tc>
          <w:tcPr>
            <w:tcW w:type="dxa" w:w="2016"/>
            <w:vAlign w:val="center"/>
            <w:shd w:fill="F0F5F7"/>
          </w:tcPr>
          <w:p>
            <w:pPr>
              <w:spacing w:after="20"/>
            </w:pPr>
            <w:r>
              <w:rPr>
                <w:color w:val="0F2035"/>
                <w:sz w:val="16"/>
              </w:rPr>
              <w:t>AI component</w:t>
            </w:r>
          </w:p>
        </w:tc>
        <w:tc>
          <w:tcPr>
            <w:tcW w:type="dxa" w:w="7560"/>
            <w:vAlign w:val="center"/>
            <w:shd w:fill="F0F5F7"/>
          </w:tcPr>
          <w:p>
            <w:pPr>
              <w:spacing w:after="20"/>
            </w:pPr>
            <w:r>
              <w:rPr>
                <w:color w:val="0F2035"/>
                <w:sz w:val="16"/>
              </w:rPr>
              <w:t>Gemini 3.5 Flash Lite; JSON-only generation; output not used to diagnose/treat.</w:t>
            </w:r>
          </w:p>
        </w:tc>
      </w:tr>
      <w:tr>
        <w:tc>
          <w:tcPr>
            <w:tcW w:type="dxa" w:w="2016"/>
            <w:vAlign w:val="center"/>
          </w:tcPr>
          <w:p>
            <w:pPr>
              <w:spacing w:after="20"/>
            </w:pPr>
            <w:r>
              <w:rPr>
                <w:color w:val="0F2035"/>
                <w:sz w:val="16"/>
              </w:rPr>
              <w:t>Tools / data</w:t>
            </w:r>
          </w:p>
        </w:tc>
        <w:tc>
          <w:tcPr>
            <w:tcW w:type="dxa" w:w="7560"/>
            <w:vAlign w:val="center"/>
          </w:tcPr>
          <w:p>
            <w:pPr>
              <w:spacing w:after="20"/>
            </w:pPr>
            <w:r>
              <w:rPr>
                <w:color w:val="0F2035"/>
                <w:sz w:val="16"/>
              </w:rPr>
              <w:t>Gemini API, n8n Code and study schema in workflow state.</w:t>
            </w:r>
          </w:p>
        </w:tc>
      </w:tr>
      <w:tr>
        <w:tc>
          <w:tcPr>
            <w:tcW w:type="dxa" w:w="2016"/>
            <w:vAlign w:val="center"/>
            <w:shd w:fill="F0F5F7"/>
          </w:tcPr>
          <w:p>
            <w:pPr>
              <w:spacing w:after="20"/>
            </w:pPr>
            <w:r>
              <w:rPr>
                <w:color w:val="0F2035"/>
                <w:sz w:val="16"/>
              </w:rPr>
              <w:t>Output</w:t>
            </w:r>
          </w:p>
        </w:tc>
        <w:tc>
          <w:tcPr>
            <w:tcW w:type="dxa" w:w="7560"/>
            <w:vAlign w:val="center"/>
            <w:shd w:fill="F0F5F7"/>
          </w:tcPr>
          <w:p>
            <w:pPr>
              <w:spacing w:after="20"/>
            </w:pPr>
            <w:r>
              <w:rPr>
                <w:color w:val="0F2035"/>
                <w:sz w:val="16"/>
              </w:rPr>
              <w:t>draft.values{}, draft.evidence{}, draft.issues[], draft.missing[], draft.ignored[].</w:t>
            </w:r>
          </w:p>
        </w:tc>
      </w:tr>
      <w:tr>
        <w:tc>
          <w:tcPr>
            <w:tcW w:type="dxa" w:w="2016"/>
            <w:vAlign w:val="center"/>
          </w:tcPr>
          <w:p>
            <w:pPr>
              <w:spacing w:after="20"/>
            </w:pPr>
            <w:r>
              <w:rPr>
                <w:color w:val="0F2035"/>
                <w:sz w:val="16"/>
              </w:rPr>
              <w:t>Human approval</w:t>
            </w:r>
          </w:p>
        </w:tc>
        <w:tc>
          <w:tcPr>
            <w:tcW w:type="dxa" w:w="7560"/>
            <w:vAlign w:val="center"/>
          </w:tcPr>
          <w:p>
            <w:pPr>
              <w:spacing w:after="20"/>
            </w:pPr>
            <w:r>
              <w:rPr>
                <w:color w:val="0F2035"/>
                <w:sz w:val="16"/>
              </w:rPr>
              <w:t>No autoexport. Draft sent to component C5 for independent researcher review.</w:t>
            </w:r>
          </w:p>
        </w:tc>
      </w:tr>
      <w:tr>
        <w:tc>
          <w:tcPr>
            <w:tcW w:type="dxa" w:w="2016"/>
            <w:vAlign w:val="center"/>
            <w:shd w:fill="F0F5F7"/>
          </w:tcPr>
          <w:p>
            <w:pPr>
              <w:spacing w:after="20"/>
            </w:pPr>
            <w:r>
              <w:rPr>
                <w:color w:val="0F2035"/>
                <w:sz w:val="16"/>
              </w:rPr>
              <w:t>Failure behavior</w:t>
            </w:r>
          </w:p>
        </w:tc>
        <w:tc>
          <w:tcPr>
            <w:tcW w:type="dxa" w:w="7560"/>
            <w:vAlign w:val="center"/>
            <w:shd w:fill="F0F5F7"/>
          </w:tcPr>
          <w:p>
            <w:pPr>
              <w:spacing w:after="20"/>
            </w:pPr>
            <w:r>
              <w:rPr>
                <w:color w:val="0F2035"/>
                <w:sz w:val="16"/>
              </w:rPr>
              <w:t>On failed parse keep confirmed transcript for retry; do not infer missing values.</w:t>
            </w:r>
          </w:p>
        </w:tc>
      </w:tr>
      <w:tr>
        <w:tc>
          <w:tcPr>
            <w:tcW w:type="dxa" w:w="2016"/>
            <w:vAlign w:val="center"/>
          </w:tcPr>
          <w:p>
            <w:pPr>
              <w:spacing w:after="20"/>
            </w:pPr>
            <w:r>
              <w:rPr>
                <w:color w:val="0F2035"/>
                <w:sz w:val="16"/>
              </w:rPr>
              <w:t>Risk tier</w:t>
            </w:r>
          </w:p>
        </w:tc>
        <w:tc>
          <w:tcPr>
            <w:tcW w:type="dxa" w:w="7560"/>
            <w:vAlign w:val="center"/>
          </w:tcPr>
          <w:p>
            <w:pPr>
              <w:spacing w:after="20"/>
            </w:pPr>
            <w:r>
              <w:rPr>
                <w:color w:val="0F2035"/>
                <w:sz w:val="16"/>
              </w:rPr>
              <w:t>High: transcription/extraction mismatch could corrupt research records.</w:t>
            </w:r>
          </w:p>
        </w:tc>
      </w:tr>
      <w:tr>
        <w:tc>
          <w:tcPr>
            <w:tcW w:type="dxa" w:w="2016"/>
            <w:vAlign w:val="center"/>
            <w:shd w:fill="F0F5F7"/>
          </w:tcPr>
          <w:p>
            <w:pPr>
              <w:spacing w:after="20"/>
            </w:pPr>
            <w:r>
              <w:rPr>
                <w:color w:val="0F2035"/>
                <w:sz w:val="16"/>
              </w:rPr>
              <w:t>Logging / tracing</w:t>
            </w:r>
          </w:p>
        </w:tc>
        <w:tc>
          <w:tcPr>
            <w:tcW w:type="dxa" w:w="7560"/>
            <w:vAlign w:val="center"/>
            <w:shd w:fill="F0F5F7"/>
          </w:tcPr>
          <w:p>
            <w:pPr>
              <w:spacing w:after="20"/>
            </w:pPr>
            <w:r>
              <w:rPr>
                <w:color w:val="0F2035"/>
                <w:sz w:val="16"/>
              </w:rPr>
              <w:t>Record model/parse failure, field-level corrections; synthetic gold-label test cases pending.</w:t>
            </w:r>
          </w:p>
        </w:tc>
      </w:tr>
      <w:tr>
        <w:tc>
          <w:tcPr>
            <w:tcW w:type="dxa" w:w="2016"/>
            <w:vAlign w:val="center"/>
          </w:tcPr>
          <w:p>
            <w:pPr>
              <w:spacing w:after="20"/>
            </w:pPr>
            <w:r>
              <w:rPr>
                <w:color w:val="0F2035"/>
                <w:sz w:val="16"/>
              </w:rPr>
              <w:t>Test cases (planned)</w:t>
            </w:r>
          </w:p>
        </w:tc>
        <w:tc>
          <w:tcPr>
            <w:tcW w:type="dxa" w:w="7560"/>
            <w:vAlign w:val="center"/>
          </w:tcPr>
          <w:p>
            <w:pPr>
              <w:spacing w:after="20"/>
            </w:pPr>
            <w:r>
              <w:rPr>
                <w:color w:val="0F2035"/>
                <w:sz w:val="16"/>
              </w:rPr>
              <w:t>N1 one numeric variable; N2 multiple typed values; N3 clear missing-value flag; EDGE contradictory units; UNSAFE synthetic prompt injection attempt. RESULTS PENDING.</w:t>
            </w:r>
          </w:p>
        </w:tc>
      </w:tr>
    </w:tbl>
    <w:p>
      <w:pPr>
        <w:spacing w:after="0"/>
      </w:pPr>
    </w:p>
    <w:p>
      <w:pPr>
        <w:spacing w:after="100"/>
      </w:pPr>
      <w:r>
        <w:rPr>
          <w:color w:val="5D6875"/>
          <w:sz w:val="16"/>
        </w:rPr>
        <w:t>Implementation note: boundaries are FUNCTIONAL ownership sections within one integrated n8n workflow, as approved by instructor; not five independently deployed automations.</w:t>
      </w:r>
    </w:p>
    <w:p>
      <w:r>
        <w:br w:type="page"/>
      </w:r>
    </w:p>
    <w:p>
      <w:pPr>
        <w:pStyle w:val="Title"/>
      </w:pPr>
      <w:r>
        <w:t>C4 — Independent QA, monitoring &amp; alerts</w:t>
      </w:r>
    </w:p>
    <w:p>
      <w:pPr>
        <w:spacing w:after="100"/>
      </w:pPr>
      <w:r>
        <w:rPr>
          <w:color w:val="5D6875"/>
          <w:sz w:val="16"/>
        </w:rPr>
        <w:t>A2 WORKFLOW SPEC CARD  |  Functional owner 4 of 5  |  Single integrated n8n deployment</w:t>
      </w:r>
    </w:p>
    <w:tbl>
      <w:tblPr>
        <w:tblStyle w:val="TableGrid"/>
        <w:tblW w:type="auto" w:w="0"/>
        <w:jc w:val="center"/>
        <w:tblLook w:firstColumn="1" w:firstRow="1" w:lastColumn="0" w:lastRow="0" w:noHBand="0" w:noVBand="1" w:val="04A0"/>
      </w:tblPr>
      <w:tblGrid>
        <w:gridCol w:w="5069"/>
        <w:gridCol w:w="5069"/>
      </w:tblGrid>
      <w:tr>
        <w:trPr>
          <w:tblHeader w:val="true"/>
        </w:trPr>
        <w:tc>
          <w:tcPr>
            <w:tcW w:type="dxa" w:w="2016"/>
            <w:shd w:fill="0F2035"/>
          </w:tcPr>
          <w:p>
            <w:r>
              <w:rPr>
                <w:b/>
                <w:color w:val="FFFFFF"/>
                <w:sz w:val="16"/>
              </w:rPr>
              <w:t>A2 field</w:t>
            </w:r>
          </w:p>
        </w:tc>
        <w:tc>
          <w:tcPr>
            <w:tcW w:type="dxa" w:w="7560"/>
            <w:shd w:fill="0F2035"/>
          </w:tcPr>
          <w:p>
            <w:r>
              <w:rPr>
                <w:b/>
                <w:color w:val="FFFFFF"/>
                <w:sz w:val="16"/>
              </w:rPr>
              <w:t>Implementation and contract</w:t>
            </w:r>
          </w:p>
        </w:tc>
      </w:tr>
      <w:tr>
        <w:tc>
          <w:tcPr>
            <w:tcW w:type="dxa" w:w="2016"/>
            <w:vAlign w:val="center"/>
          </w:tcPr>
          <w:p>
            <w:pPr>
              <w:spacing w:after="20"/>
            </w:pPr>
            <w:r>
              <w:rPr>
                <w:color w:val="0F2035"/>
                <w:sz w:val="16"/>
              </w:rPr>
              <w:t>Owner</w:t>
            </w:r>
          </w:p>
        </w:tc>
        <w:tc>
          <w:tcPr>
            <w:tcW w:type="dxa" w:w="7560"/>
            <w:vAlign w:val="center"/>
          </w:tcPr>
          <w:p>
            <w:pPr>
              <w:spacing w:after="20"/>
            </w:pPr>
            <w:r>
              <w:rPr>
                <w:color w:val="0F2035"/>
                <w:sz w:val="16"/>
              </w:rPr>
              <w:t>[Member 4 — confirm]</w:t>
            </w:r>
          </w:p>
        </w:tc>
      </w:tr>
      <w:tr>
        <w:tc>
          <w:tcPr>
            <w:tcW w:type="dxa" w:w="2016"/>
            <w:vAlign w:val="center"/>
            <w:shd w:fill="F0F5F7"/>
          </w:tcPr>
          <w:p>
            <w:pPr>
              <w:spacing w:after="20"/>
            </w:pPr>
            <w:r>
              <w:rPr>
                <w:color w:val="0F2035"/>
                <w:sz w:val="16"/>
              </w:rPr>
              <w:t>Purpose</w:t>
            </w:r>
          </w:p>
        </w:tc>
        <w:tc>
          <w:tcPr>
            <w:tcW w:type="dxa" w:w="7560"/>
            <w:vAlign w:val="center"/>
            <w:shd w:fill="F0F5F7"/>
          </w:tcPr>
          <w:p>
            <w:pPr>
              <w:spacing w:after="20"/>
            </w:pPr>
            <w:r>
              <w:rPr>
                <w:color w:val="0F2035"/>
                <w:sz w:val="16"/>
              </w:rPr>
              <w:t>Assess drafts, flag quality/safety problems and create metadata-only LangSmith records.</w:t>
            </w:r>
          </w:p>
        </w:tc>
      </w:tr>
      <w:tr>
        <w:tc>
          <w:tcPr>
            <w:tcW w:type="dxa" w:w="2016"/>
            <w:vAlign w:val="center"/>
          </w:tcPr>
          <w:p>
            <w:pPr>
              <w:spacing w:after="20"/>
            </w:pPr>
            <w:r>
              <w:rPr>
                <w:color w:val="0F2035"/>
                <w:sz w:val="16"/>
              </w:rPr>
              <w:t>Trigger</w:t>
            </w:r>
          </w:p>
        </w:tc>
        <w:tc>
          <w:tcPr>
            <w:tcW w:type="dxa" w:w="7560"/>
            <w:vAlign w:val="center"/>
          </w:tcPr>
          <w:p>
            <w:pPr>
              <w:spacing w:after="20"/>
            </w:pPr>
            <w:r>
              <w:rPr>
                <w:color w:val="0F2035"/>
                <w:sz w:val="16"/>
              </w:rPr>
              <w:t>New values draft after Parse Model Classification</w:t>
            </w:r>
          </w:p>
        </w:tc>
      </w:tr>
      <w:tr>
        <w:tc>
          <w:tcPr>
            <w:tcW w:type="dxa" w:w="2016"/>
            <w:vAlign w:val="center"/>
            <w:shd w:fill="F0F5F7"/>
          </w:tcPr>
          <w:p>
            <w:pPr>
              <w:spacing w:after="20"/>
            </w:pPr>
            <w:r>
              <w:rPr>
                <w:color w:val="0F2035"/>
                <w:sz w:val="16"/>
              </w:rPr>
              <w:t>Input</w:t>
            </w:r>
          </w:p>
        </w:tc>
        <w:tc>
          <w:tcPr>
            <w:tcW w:type="dxa" w:w="7560"/>
            <w:vAlign w:val="center"/>
            <w:shd w:fill="F0F5F7"/>
          </w:tcPr>
          <w:p>
            <w:pPr>
              <w:spacing w:after="20"/>
            </w:pPr>
            <w:r>
              <w:rPr>
                <w:color w:val="0F2035"/>
                <w:sz w:val="16"/>
              </w:rPr>
              <w:t>draft fields, schema, confirmed transcript for judge context (model input), visit-scoped evaluation.</w:t>
            </w:r>
          </w:p>
        </w:tc>
      </w:tr>
      <w:tr>
        <w:tc>
          <w:tcPr>
            <w:tcW w:type="dxa" w:w="2016"/>
            <w:vAlign w:val="center"/>
          </w:tcPr>
          <w:p>
            <w:pPr>
              <w:spacing w:after="20"/>
            </w:pPr>
            <w:r>
              <w:rPr>
                <w:color w:val="0F2035"/>
                <w:sz w:val="16"/>
              </w:rPr>
              <w:t>Steps</w:t>
            </w:r>
          </w:p>
        </w:tc>
        <w:tc>
          <w:tcPr>
            <w:tcW w:type="dxa" w:w="7560"/>
            <w:vAlign w:val="center"/>
          </w:tcPr>
          <w:p>
            <w:pPr>
              <w:spacing w:after="20"/>
            </w:pPr>
            <w:r>
              <w:rPr>
                <w:color w:val="0F2035"/>
                <w:sz w:val="16"/>
              </w:rPr>
              <w:t>Judge rubric 1–5 across five dimensions; validate JSON; classify soft/hard; log bounded monitoring events; emit Telegram alert when required; POST anonymized QA checkpoint to LangSmith.</w:t>
            </w:r>
          </w:p>
        </w:tc>
      </w:tr>
      <w:tr>
        <w:tc>
          <w:tcPr>
            <w:tcW w:type="dxa" w:w="2016"/>
            <w:vAlign w:val="center"/>
            <w:shd w:fill="F0F5F7"/>
          </w:tcPr>
          <w:p>
            <w:pPr>
              <w:spacing w:after="20"/>
            </w:pPr>
            <w:r>
              <w:rPr>
                <w:color w:val="0F2035"/>
                <w:sz w:val="16"/>
              </w:rPr>
              <w:t>AI component</w:t>
            </w:r>
          </w:p>
        </w:tc>
        <w:tc>
          <w:tcPr>
            <w:tcW w:type="dxa" w:w="7560"/>
            <w:vAlign w:val="center"/>
            <w:shd w:fill="F0F5F7"/>
          </w:tcPr>
          <w:p>
            <w:pPr>
              <w:spacing w:after="20"/>
            </w:pPr>
            <w:r>
              <w:rPr>
                <w:color w:val="0F2035"/>
                <w:sz w:val="16"/>
              </w:rPr>
              <w:t>Independent Gemini judge (same model family/provider as extractor, separate request and rubric); NOT clinically calibrated.</w:t>
            </w:r>
          </w:p>
        </w:tc>
      </w:tr>
      <w:tr>
        <w:tc>
          <w:tcPr>
            <w:tcW w:type="dxa" w:w="2016"/>
            <w:vAlign w:val="center"/>
          </w:tcPr>
          <w:p>
            <w:pPr>
              <w:spacing w:after="20"/>
            </w:pPr>
            <w:r>
              <w:rPr>
                <w:color w:val="0F2035"/>
                <w:sz w:val="16"/>
              </w:rPr>
              <w:t>Tools / data</w:t>
            </w:r>
          </w:p>
        </w:tc>
        <w:tc>
          <w:tcPr>
            <w:tcW w:type="dxa" w:w="7560"/>
            <w:vAlign w:val="center"/>
          </w:tcPr>
          <w:p>
            <w:pPr>
              <w:spacing w:after="20"/>
            </w:pPr>
            <w:r>
              <w:rPr>
                <w:color w:val="0F2035"/>
                <w:sz w:val="16"/>
              </w:rPr>
              <w:t>n8n judge nodes, /eval, /monitor, LangSmith /runs API, Telegram alerts.</w:t>
            </w:r>
          </w:p>
        </w:tc>
      </w:tr>
      <w:tr>
        <w:tc>
          <w:tcPr>
            <w:tcW w:type="dxa" w:w="2016"/>
            <w:vAlign w:val="center"/>
            <w:shd w:fill="F0F5F7"/>
          </w:tcPr>
          <w:p>
            <w:pPr>
              <w:spacing w:after="20"/>
            </w:pPr>
            <w:r>
              <w:rPr>
                <w:color w:val="0F2035"/>
                <w:sz w:val="16"/>
              </w:rPr>
              <w:t>Output</w:t>
            </w:r>
          </w:p>
        </w:tc>
        <w:tc>
          <w:tcPr>
            <w:tcW w:type="dxa" w:w="7560"/>
            <w:vAlign w:val="center"/>
            <w:shd w:fill="F0F5F7"/>
          </w:tcPr>
          <w:p>
            <w:pPr>
              <w:spacing w:after="20"/>
            </w:pPr>
            <w:r>
              <w:rPr>
                <w:color w:val="0F2035"/>
                <w:sz w:val="16"/>
              </w:rPr>
              <w:t>scores{}, rationales{}, average, overall_assessment, monitor_alert_level, monitor_reason_code, judge_duration_ms, qa trace.</w:t>
            </w:r>
          </w:p>
        </w:tc>
      </w:tr>
      <w:tr>
        <w:tc>
          <w:tcPr>
            <w:tcW w:type="dxa" w:w="2016"/>
            <w:vAlign w:val="center"/>
          </w:tcPr>
          <w:p>
            <w:pPr>
              <w:spacing w:after="20"/>
            </w:pPr>
            <w:r>
              <w:rPr>
                <w:color w:val="0F2035"/>
                <w:sz w:val="16"/>
              </w:rPr>
              <w:t>Human approval</w:t>
            </w:r>
          </w:p>
        </w:tc>
        <w:tc>
          <w:tcPr>
            <w:tcW w:type="dxa" w:w="7560"/>
            <w:vAlign w:val="center"/>
          </w:tcPr>
          <w:p>
            <w:pPr>
              <w:spacing w:after="20"/>
            </w:pPr>
            <w:r>
              <w:rPr>
                <w:color w:val="0F2035"/>
                <w:sz w:val="16"/>
              </w:rPr>
              <w:t>Hard export hold when factual/safety score &lt;=2 or critical flag; researcher can /redo.</w:t>
            </w:r>
          </w:p>
        </w:tc>
      </w:tr>
      <w:tr>
        <w:tc>
          <w:tcPr>
            <w:tcW w:type="dxa" w:w="2016"/>
            <w:vAlign w:val="center"/>
            <w:shd w:fill="F0F5F7"/>
          </w:tcPr>
          <w:p>
            <w:pPr>
              <w:spacing w:after="20"/>
            </w:pPr>
            <w:r>
              <w:rPr>
                <w:color w:val="0F2035"/>
                <w:sz w:val="16"/>
              </w:rPr>
              <w:t>Failure behavior</w:t>
            </w:r>
          </w:p>
        </w:tc>
        <w:tc>
          <w:tcPr>
            <w:tcW w:type="dxa" w:w="7560"/>
            <w:vAlign w:val="center"/>
            <w:shd w:fill="F0F5F7"/>
          </w:tcPr>
          <w:p>
            <w:pPr>
              <w:spacing w:after="20"/>
            </w:pPr>
            <w:r>
              <w:rPr>
                <w:color w:val="0F2035"/>
                <w:sz w:val="16"/>
              </w:rPr>
              <w:t>Judge timeout/invalid output: record failure and soft review warning; tracing transport failure is nonblocking.</w:t>
            </w:r>
          </w:p>
        </w:tc>
      </w:tr>
      <w:tr>
        <w:tc>
          <w:tcPr>
            <w:tcW w:type="dxa" w:w="2016"/>
            <w:vAlign w:val="center"/>
          </w:tcPr>
          <w:p>
            <w:pPr>
              <w:spacing w:after="20"/>
            </w:pPr>
            <w:r>
              <w:rPr>
                <w:color w:val="0F2035"/>
                <w:sz w:val="16"/>
              </w:rPr>
              <w:t>Risk tier</w:t>
            </w:r>
          </w:p>
        </w:tc>
        <w:tc>
          <w:tcPr>
            <w:tcW w:type="dxa" w:w="7560"/>
            <w:vAlign w:val="center"/>
          </w:tcPr>
          <w:p>
            <w:pPr>
              <w:spacing w:after="20"/>
            </w:pPr>
            <w:r>
              <w:rPr>
                <w:color w:val="0F2035"/>
                <w:sz w:val="16"/>
              </w:rPr>
              <w:t>High: overreliance on uncalibrated judge; monitoring is not clinical clearance.</w:t>
            </w:r>
          </w:p>
        </w:tc>
      </w:tr>
      <w:tr>
        <w:tc>
          <w:tcPr>
            <w:tcW w:type="dxa" w:w="2016"/>
            <w:vAlign w:val="center"/>
            <w:shd w:fill="F0F5F7"/>
          </w:tcPr>
          <w:p>
            <w:pPr>
              <w:spacing w:after="20"/>
            </w:pPr>
            <w:r>
              <w:rPr>
                <w:color w:val="0F2035"/>
                <w:sz w:val="16"/>
              </w:rPr>
              <w:t>Logging / tracing</w:t>
            </w:r>
          </w:p>
        </w:tc>
        <w:tc>
          <w:tcPr>
            <w:tcW w:type="dxa" w:w="7560"/>
            <w:vAlign w:val="center"/>
            <w:shd w:fill="F0F5F7"/>
          </w:tcPr>
          <w:p>
            <w:pPr>
              <w:spacing w:after="20"/>
            </w:pPr>
            <w:r>
              <w:rPr>
                <w:color w:val="0F2035"/>
                <w:sz w:val="16"/>
              </w:rPr>
              <w:t>LangSmith checkpoint (not full per-call trace); 200-event rolling monitoring; 2-person calibration pending.</w:t>
            </w:r>
          </w:p>
        </w:tc>
      </w:tr>
      <w:tr>
        <w:tc>
          <w:tcPr>
            <w:tcW w:type="dxa" w:w="2016"/>
            <w:vAlign w:val="center"/>
          </w:tcPr>
          <w:p>
            <w:pPr>
              <w:spacing w:after="20"/>
            </w:pPr>
            <w:r>
              <w:rPr>
                <w:color w:val="0F2035"/>
                <w:sz w:val="16"/>
              </w:rPr>
              <w:t>Test cases (planned)</w:t>
            </w:r>
          </w:p>
        </w:tc>
        <w:tc>
          <w:tcPr>
            <w:tcW w:type="dxa" w:w="7560"/>
            <w:vAlign w:val="center"/>
          </w:tcPr>
          <w:p>
            <w:pPr>
              <w:spacing w:after="20"/>
            </w:pPr>
            <w:r>
              <w:rPr>
                <w:color w:val="0F2035"/>
                <w:sz w:val="16"/>
              </w:rPr>
              <w:t>N1 all scores pass; N2 QA trace accepted; N3 soft alert; EDGE judge invalid JSON; UNSAFE critical-score hold (synthetic controlled test). RESULTS PENDING except known documented examples.</w:t>
            </w:r>
          </w:p>
        </w:tc>
      </w:tr>
    </w:tbl>
    <w:p>
      <w:pPr>
        <w:spacing w:after="0"/>
      </w:pPr>
    </w:p>
    <w:p>
      <w:pPr>
        <w:spacing w:after="100"/>
      </w:pPr>
      <w:r>
        <w:rPr>
          <w:color w:val="5D6875"/>
          <w:sz w:val="16"/>
        </w:rPr>
        <w:t>Implementation note: boundaries are FUNCTIONAL ownership sections within one integrated n8n workflow, as approved by instructor; not five independently deployed automations.</w:t>
      </w:r>
    </w:p>
    <w:p>
      <w:r>
        <w:br w:type="page"/>
      </w:r>
    </w:p>
    <w:p>
      <w:pPr>
        <w:pStyle w:val="Title"/>
      </w:pPr>
      <w:r>
        <w:t>C5 — Researcher approval &amp; XLSX delivery</w:t>
      </w:r>
    </w:p>
    <w:p>
      <w:pPr>
        <w:spacing w:after="100"/>
      </w:pPr>
      <w:r>
        <w:rPr>
          <w:color w:val="5D6875"/>
          <w:sz w:val="16"/>
        </w:rPr>
        <w:t>A2 WORKFLOW SPEC CARD  |  Functional owner 5 of 5  |  Single integrated n8n deployment</w:t>
      </w:r>
    </w:p>
    <w:tbl>
      <w:tblPr>
        <w:tblStyle w:val="TableGrid"/>
        <w:tblW w:type="auto" w:w="0"/>
        <w:jc w:val="center"/>
        <w:tblLook w:firstColumn="1" w:firstRow="1" w:lastColumn="0" w:lastRow="0" w:noHBand="0" w:noVBand="1" w:val="04A0"/>
      </w:tblPr>
      <w:tblGrid>
        <w:gridCol w:w="5069"/>
        <w:gridCol w:w="5069"/>
      </w:tblGrid>
      <w:tr>
        <w:trPr>
          <w:tblHeader w:val="true"/>
        </w:trPr>
        <w:tc>
          <w:tcPr>
            <w:tcW w:type="dxa" w:w="2016"/>
            <w:shd w:fill="0F2035"/>
          </w:tcPr>
          <w:p>
            <w:r>
              <w:rPr>
                <w:b/>
                <w:color w:val="FFFFFF"/>
                <w:sz w:val="16"/>
              </w:rPr>
              <w:t>A2 field</w:t>
            </w:r>
          </w:p>
        </w:tc>
        <w:tc>
          <w:tcPr>
            <w:tcW w:type="dxa" w:w="7560"/>
            <w:shd w:fill="0F2035"/>
          </w:tcPr>
          <w:p>
            <w:r>
              <w:rPr>
                <w:b/>
                <w:color w:val="FFFFFF"/>
                <w:sz w:val="16"/>
              </w:rPr>
              <w:t>Implementation and contract</w:t>
            </w:r>
          </w:p>
        </w:tc>
      </w:tr>
      <w:tr>
        <w:tc>
          <w:tcPr>
            <w:tcW w:type="dxa" w:w="2016"/>
            <w:vAlign w:val="center"/>
          </w:tcPr>
          <w:p>
            <w:pPr>
              <w:spacing w:after="20"/>
            </w:pPr>
            <w:r>
              <w:rPr>
                <w:color w:val="0F2035"/>
                <w:sz w:val="16"/>
              </w:rPr>
              <w:t>Owner</w:t>
            </w:r>
          </w:p>
        </w:tc>
        <w:tc>
          <w:tcPr>
            <w:tcW w:type="dxa" w:w="7560"/>
            <w:vAlign w:val="center"/>
          </w:tcPr>
          <w:p>
            <w:pPr>
              <w:spacing w:after="20"/>
            </w:pPr>
            <w:r>
              <w:rPr>
                <w:color w:val="0F2035"/>
                <w:sz w:val="16"/>
              </w:rPr>
              <w:t>[Member 5 — confirm]</w:t>
            </w:r>
          </w:p>
        </w:tc>
      </w:tr>
      <w:tr>
        <w:tc>
          <w:tcPr>
            <w:tcW w:type="dxa" w:w="2016"/>
            <w:vAlign w:val="center"/>
            <w:shd w:fill="F0F5F7"/>
          </w:tcPr>
          <w:p>
            <w:pPr>
              <w:spacing w:after="20"/>
            </w:pPr>
            <w:r>
              <w:rPr>
                <w:color w:val="0F2035"/>
                <w:sz w:val="16"/>
              </w:rPr>
              <w:t>Purpose</w:t>
            </w:r>
          </w:p>
        </w:tc>
        <w:tc>
          <w:tcPr>
            <w:tcW w:type="dxa" w:w="7560"/>
            <w:vAlign w:val="center"/>
            <w:shd w:fill="F0F5F7"/>
          </w:tcPr>
          <w:p>
            <w:pPr>
              <w:spacing w:after="20"/>
            </w:pPr>
            <w:r>
              <w:rPr>
                <w:color w:val="0F2035"/>
                <w:sz w:val="16"/>
              </w:rPr>
              <w:t>Keep final record under human control and deliver researcher-confirmed visit XLSX.</w:t>
            </w:r>
          </w:p>
        </w:tc>
      </w:tr>
      <w:tr>
        <w:tc>
          <w:tcPr>
            <w:tcW w:type="dxa" w:w="2016"/>
            <w:vAlign w:val="center"/>
          </w:tcPr>
          <w:p>
            <w:pPr>
              <w:spacing w:after="20"/>
            </w:pPr>
            <w:r>
              <w:rPr>
                <w:color w:val="0F2035"/>
                <w:sz w:val="16"/>
              </w:rPr>
              <w:t>Trigger</w:t>
            </w:r>
          </w:p>
        </w:tc>
        <w:tc>
          <w:tcPr>
            <w:tcW w:type="dxa" w:w="7560"/>
            <w:vAlign w:val="center"/>
          </w:tcPr>
          <w:p>
            <w:pPr>
              <w:spacing w:after="20"/>
            </w:pPr>
            <w:r>
              <w:rPr>
                <w:color w:val="0F2035"/>
                <w:sz w:val="16"/>
              </w:rPr>
              <w:t>Final Review display and Confirm &amp; Export callback, /review, /retry</w:t>
            </w:r>
          </w:p>
        </w:tc>
      </w:tr>
      <w:tr>
        <w:tc>
          <w:tcPr>
            <w:tcW w:type="dxa" w:w="2016"/>
            <w:vAlign w:val="center"/>
            <w:shd w:fill="F0F5F7"/>
          </w:tcPr>
          <w:p>
            <w:pPr>
              <w:spacing w:after="20"/>
            </w:pPr>
            <w:r>
              <w:rPr>
                <w:color w:val="0F2035"/>
                <w:sz w:val="16"/>
              </w:rPr>
              <w:t>Input</w:t>
            </w:r>
          </w:p>
        </w:tc>
        <w:tc>
          <w:tcPr>
            <w:tcW w:type="dxa" w:w="7560"/>
            <w:vAlign w:val="center"/>
            <w:shd w:fill="F0F5F7"/>
          </w:tcPr>
          <w:p>
            <w:pPr>
              <w:spacing w:after="20"/>
            </w:pPr>
            <w:r>
              <w:rPr>
                <w:color w:val="0F2035"/>
                <w:sz w:val="16"/>
              </w:rPr>
              <w:t>study/case/visit metadata; draft values/evidence/issues/missing; hard-hold status; approval nonce.</w:t>
            </w:r>
          </w:p>
        </w:tc>
      </w:tr>
      <w:tr>
        <w:tc>
          <w:tcPr>
            <w:tcW w:type="dxa" w:w="2016"/>
            <w:vAlign w:val="center"/>
          </w:tcPr>
          <w:p>
            <w:pPr>
              <w:spacing w:after="20"/>
            </w:pPr>
            <w:r>
              <w:rPr>
                <w:color w:val="0F2035"/>
                <w:sz w:val="16"/>
              </w:rPr>
              <w:t>Steps</w:t>
            </w:r>
          </w:p>
        </w:tc>
        <w:tc>
          <w:tcPr>
            <w:tcW w:type="dxa" w:w="7560"/>
            <w:vAlign w:val="center"/>
          </w:tcPr>
          <w:p>
            <w:pPr>
              <w:spacing w:after="20"/>
            </w:pPr>
            <w:r>
              <w:rPr>
                <w:color w:val="0F2035"/>
                <w:sz w:val="16"/>
              </w:rPr>
              <w:t>Show values/missing/issues; accept Name = value corrections; require explicit missing acceptance; enforce hard hold; confirm; create rows; convert XLSX; deliver to Telegram; record completion.</w:t>
            </w:r>
          </w:p>
        </w:tc>
      </w:tr>
      <w:tr>
        <w:tc>
          <w:tcPr>
            <w:tcW w:type="dxa" w:w="2016"/>
            <w:vAlign w:val="center"/>
            <w:shd w:fill="F0F5F7"/>
          </w:tcPr>
          <w:p>
            <w:pPr>
              <w:spacing w:after="20"/>
            </w:pPr>
            <w:r>
              <w:rPr>
                <w:color w:val="0F2035"/>
                <w:sz w:val="16"/>
              </w:rPr>
              <w:t>AI component</w:t>
            </w:r>
          </w:p>
        </w:tc>
        <w:tc>
          <w:tcPr>
            <w:tcW w:type="dxa" w:w="7560"/>
            <w:vAlign w:val="center"/>
            <w:shd w:fill="F0F5F7"/>
          </w:tcPr>
          <w:p>
            <w:pPr>
              <w:spacing w:after="20"/>
            </w:pPr>
            <w:r>
              <w:rPr>
                <w:color w:val="0F2035"/>
                <w:sz w:val="16"/>
              </w:rPr>
              <w:t>No autonomous clinical AI; receives extracted draft and judge decision.</w:t>
            </w:r>
          </w:p>
        </w:tc>
      </w:tr>
      <w:tr>
        <w:tc>
          <w:tcPr>
            <w:tcW w:type="dxa" w:w="2016"/>
            <w:vAlign w:val="center"/>
          </w:tcPr>
          <w:p>
            <w:pPr>
              <w:spacing w:after="20"/>
            </w:pPr>
            <w:r>
              <w:rPr>
                <w:color w:val="0F2035"/>
                <w:sz w:val="16"/>
              </w:rPr>
              <w:t>Tools / data</w:t>
            </w:r>
          </w:p>
        </w:tc>
        <w:tc>
          <w:tcPr>
            <w:tcW w:type="dxa" w:w="7560"/>
            <w:vAlign w:val="center"/>
          </w:tcPr>
          <w:p>
            <w:pPr>
              <w:spacing w:after="20"/>
            </w:pPr>
            <w:r>
              <w:rPr>
                <w:color w:val="0F2035"/>
                <w:sz w:val="16"/>
              </w:rPr>
              <w:t>n8n Code, Convert to File (XLSX), Telegram Send Document.</w:t>
            </w:r>
          </w:p>
        </w:tc>
      </w:tr>
      <w:tr>
        <w:tc>
          <w:tcPr>
            <w:tcW w:type="dxa" w:w="2016"/>
            <w:vAlign w:val="center"/>
            <w:shd w:fill="F0F5F7"/>
          </w:tcPr>
          <w:p>
            <w:pPr>
              <w:spacing w:after="20"/>
            </w:pPr>
            <w:r>
              <w:rPr>
                <w:color w:val="0F2035"/>
                <w:sz w:val="16"/>
              </w:rPr>
              <w:t>Output</w:t>
            </w:r>
          </w:p>
        </w:tc>
        <w:tc>
          <w:tcPr>
            <w:tcW w:type="dxa" w:w="7560"/>
            <w:vAlign w:val="center"/>
            <w:shd w:fill="F0F5F7"/>
          </w:tcPr>
          <w:p>
            <w:pPr>
              <w:spacing w:after="20"/>
            </w:pPr>
            <w:r>
              <w:rPr>
                <w:color w:val="0F2035"/>
                <w:sz w:val="16"/>
              </w:rPr>
              <w:t>XLSX rows with variable, value, unit, evidence, status, flags and confirmation metadata; delivery receipt.</w:t>
            </w:r>
          </w:p>
        </w:tc>
      </w:tr>
      <w:tr>
        <w:tc>
          <w:tcPr>
            <w:tcW w:type="dxa" w:w="2016"/>
            <w:vAlign w:val="center"/>
          </w:tcPr>
          <w:p>
            <w:pPr>
              <w:spacing w:after="20"/>
            </w:pPr>
            <w:r>
              <w:rPr>
                <w:color w:val="0F2035"/>
                <w:sz w:val="16"/>
              </w:rPr>
              <w:t>Human approval</w:t>
            </w:r>
          </w:p>
        </w:tc>
        <w:tc>
          <w:tcPr>
            <w:tcW w:type="dxa" w:w="7560"/>
            <w:vAlign w:val="center"/>
          </w:tcPr>
          <w:p>
            <w:pPr>
              <w:spacing w:after="20"/>
            </w:pPr>
            <w:r>
              <w:rPr>
                <w:color w:val="0F2035"/>
                <w:sz w:val="16"/>
              </w:rPr>
              <w:t>Researcher checks every field; export only after explicit confirmation.</w:t>
            </w:r>
          </w:p>
        </w:tc>
      </w:tr>
      <w:tr>
        <w:tc>
          <w:tcPr>
            <w:tcW w:type="dxa" w:w="2016"/>
            <w:vAlign w:val="center"/>
            <w:shd w:fill="F0F5F7"/>
          </w:tcPr>
          <w:p>
            <w:pPr>
              <w:spacing w:after="20"/>
            </w:pPr>
            <w:r>
              <w:rPr>
                <w:color w:val="0F2035"/>
                <w:sz w:val="16"/>
              </w:rPr>
              <w:t>Failure behavior</w:t>
            </w:r>
          </w:p>
        </w:tc>
        <w:tc>
          <w:tcPr>
            <w:tcW w:type="dxa" w:w="7560"/>
            <w:vAlign w:val="center"/>
            <w:shd w:fill="F0F5F7"/>
          </w:tcPr>
          <w:p>
            <w:pPr>
              <w:spacing w:after="20"/>
            </w:pPr>
            <w:r>
              <w:rPr>
                <w:color w:val="0F2035"/>
                <w:sz w:val="16"/>
              </w:rPr>
              <w:t>Block unresolved issues/unsafe hold; failed delivery not counted completed; /retry with duplicate caution.</w:t>
            </w:r>
          </w:p>
        </w:tc>
      </w:tr>
      <w:tr>
        <w:tc>
          <w:tcPr>
            <w:tcW w:type="dxa" w:w="2016"/>
            <w:vAlign w:val="center"/>
          </w:tcPr>
          <w:p>
            <w:pPr>
              <w:spacing w:after="20"/>
            </w:pPr>
            <w:r>
              <w:rPr>
                <w:color w:val="0F2035"/>
                <w:sz w:val="16"/>
              </w:rPr>
              <w:t>Risk tier</w:t>
            </w:r>
          </w:p>
        </w:tc>
        <w:tc>
          <w:tcPr>
            <w:tcW w:type="dxa" w:w="7560"/>
            <w:vAlign w:val="center"/>
          </w:tcPr>
          <w:p>
            <w:pPr>
              <w:spacing w:after="20"/>
            </w:pPr>
            <w:r>
              <w:rPr>
                <w:color w:val="0F2035"/>
                <w:sz w:val="16"/>
              </w:rPr>
              <w:t>High: wrong export can propagate bad research data; synthetic-only.</w:t>
            </w:r>
          </w:p>
        </w:tc>
      </w:tr>
      <w:tr>
        <w:tc>
          <w:tcPr>
            <w:tcW w:type="dxa" w:w="2016"/>
            <w:vAlign w:val="center"/>
            <w:shd w:fill="F0F5F7"/>
          </w:tcPr>
          <w:p>
            <w:pPr>
              <w:spacing w:after="20"/>
            </w:pPr>
            <w:r>
              <w:rPr>
                <w:color w:val="0F2035"/>
                <w:sz w:val="16"/>
              </w:rPr>
              <w:t>Logging / tracing</w:t>
            </w:r>
          </w:p>
        </w:tc>
        <w:tc>
          <w:tcPr>
            <w:tcW w:type="dxa" w:w="7560"/>
            <w:vAlign w:val="center"/>
            <w:shd w:fill="F0F5F7"/>
          </w:tcPr>
          <w:p>
            <w:pPr>
              <w:spacing w:after="20"/>
            </w:pPr>
            <w:r>
              <w:rPr>
                <w:color w:val="0F2035"/>
                <w:sz w:val="16"/>
              </w:rPr>
              <w:t>Approval/export metadata recorded locally; current LangSmith QA checkpoint occurs before final export.</w:t>
            </w:r>
          </w:p>
        </w:tc>
      </w:tr>
      <w:tr>
        <w:tc>
          <w:tcPr>
            <w:tcW w:type="dxa" w:w="2016"/>
            <w:vAlign w:val="center"/>
          </w:tcPr>
          <w:p>
            <w:pPr>
              <w:spacing w:after="20"/>
            </w:pPr>
            <w:r>
              <w:rPr>
                <w:color w:val="0F2035"/>
                <w:sz w:val="16"/>
              </w:rPr>
              <w:t>Test cases (planned)</w:t>
            </w:r>
          </w:p>
        </w:tc>
        <w:tc>
          <w:tcPr>
            <w:tcW w:type="dxa" w:w="7560"/>
            <w:vAlign w:val="center"/>
          </w:tcPr>
          <w:p>
            <w:pPr>
              <w:spacing w:after="20"/>
            </w:pPr>
            <w:r>
              <w:rPr>
                <w:color w:val="0F2035"/>
                <w:sz w:val="16"/>
              </w:rPr>
              <w:t>N1 approved two-field XLSX; N2 corrected field export; N3 follow-up visit export; EDGE missing-field acceptance; UNSAFE approval bypass attempt. RESULTS PENDING except known exports.</w:t>
            </w:r>
          </w:p>
        </w:tc>
      </w:tr>
    </w:tbl>
    <w:p>
      <w:pPr>
        <w:spacing w:after="0"/>
      </w:pPr>
    </w:p>
    <w:p>
      <w:pPr>
        <w:spacing w:after="100"/>
      </w:pPr>
      <w:r>
        <w:rPr>
          <w:color w:val="5D6875"/>
          <w:sz w:val="16"/>
        </w:rPr>
        <w:t>Implementation note: boundaries are FUNCTIONAL ownership sections within one integrated n8n workflow, as approved by instructor; not five independently deployed automations.</w:t>
      </w:r>
    </w:p>
    <w:p>
      <w:r>
        <w:br w:type="page"/>
      </w:r>
    </w:p>
    <w:p>
      <w:pPr>
        <w:pStyle w:val="Title"/>
      </w:pPr>
      <w:r>
        <w:t>Integration Map  |  A3</w:t>
      </w:r>
    </w:p>
    <w:p>
      <w:pPr>
        <w:spacing w:after="100"/>
      </w:pPr>
      <w:r>
        <w:rPr>
          <w:color w:val="5D6875"/>
          <w:sz w:val="16"/>
        </w:rPr>
        <w:t>Exact named fields taken from the working integrated n8n workflow; functional handoffs, not separate webhooks.</w:t>
      </w:r>
    </w:p>
    <w:tbl>
      <w:tblPr>
        <w:tblStyle w:val="TableGrid"/>
        <w:tblW w:type="auto" w:w="0"/>
        <w:jc w:val="center"/>
        <w:tblLook w:firstColumn="1" w:firstRow="1" w:lastColumn="0" w:lastRow="0" w:noHBand="0" w:noVBand="1" w:val="04A0"/>
      </w:tblPr>
      <w:tblGrid>
        <w:gridCol w:w="3379"/>
        <w:gridCol w:w="3379"/>
        <w:gridCol w:w="3379"/>
      </w:tblGrid>
      <w:tr>
        <w:trPr>
          <w:tblHeader w:val="true"/>
        </w:trPr>
        <w:tc>
          <w:tcPr>
            <w:tcW w:type="dxa" w:w="1512"/>
            <w:shd w:fill="0F2035"/>
          </w:tcPr>
          <w:p>
            <w:r>
              <w:rPr>
                <w:b/>
                <w:color w:val="FFFFFF"/>
                <w:sz w:val="15"/>
              </w:rPr>
              <w:t>From → to</w:t>
            </w:r>
          </w:p>
        </w:tc>
        <w:tc>
          <w:tcPr>
            <w:tcW w:type="dxa" w:w="2333"/>
            <w:shd w:fill="0F2035"/>
          </w:tcPr>
          <w:p>
            <w:r>
              <w:rPr>
                <w:b/>
                <w:color w:val="FFFFFF"/>
                <w:sz w:val="15"/>
              </w:rPr>
              <w:t>Handoff / trigger</w:t>
            </w:r>
          </w:p>
        </w:tc>
        <w:tc>
          <w:tcPr>
            <w:tcW w:type="dxa" w:w="5760"/>
            <w:shd w:fill="0F2035"/>
          </w:tcPr>
          <w:p>
            <w:r>
              <w:rPr>
                <w:b/>
                <w:color w:val="FFFFFF"/>
                <w:sz w:val="15"/>
              </w:rPr>
              <w:t>Actual field contract</w:t>
            </w:r>
          </w:p>
        </w:tc>
      </w:tr>
      <w:tr>
        <w:tc>
          <w:tcPr>
            <w:tcW w:type="dxa" w:w="1512"/>
            <w:vAlign w:val="center"/>
          </w:tcPr>
          <w:p>
            <w:pPr>
              <w:spacing w:after="20"/>
            </w:pPr>
            <w:r>
              <w:rPr>
                <w:color w:val="0F2035"/>
                <w:sz w:val="15"/>
              </w:rPr>
              <w:t>C1 → C2</w:t>
            </w:r>
          </w:p>
        </w:tc>
        <w:tc>
          <w:tcPr>
            <w:tcW w:type="dxa" w:w="2333"/>
            <w:vAlign w:val="center"/>
          </w:tcPr>
          <w:p>
            <w:pPr>
              <w:spacing w:after="20"/>
            </w:pPr>
            <w:r>
              <w:rPr>
                <w:color w:val="0F2035"/>
                <w:sz w:val="15"/>
              </w:rPr>
              <w:t>Schema approved; case begins</w:t>
            </w:r>
          </w:p>
        </w:tc>
        <w:tc>
          <w:tcPr>
            <w:tcW w:type="dxa" w:w="5760"/>
            <w:vAlign w:val="center"/>
          </w:tcPr>
          <w:p>
            <w:pPr>
              <w:spacing w:after="20"/>
            </w:pPr>
            <w:r>
              <w:rPr>
                <w:color w:val="0F2035"/>
                <w:sz w:val="15"/>
              </w:rPr>
              <w:t>study_id, study_name, variables[], schema_approved_at; session study_id</w:t>
            </w:r>
          </w:p>
        </w:tc>
      </w:tr>
      <w:tr>
        <w:tc>
          <w:tcPr>
            <w:tcW w:type="dxa" w:w="1512"/>
            <w:vAlign w:val="center"/>
            <w:shd w:fill="F0F5F7"/>
          </w:tcPr>
          <w:p>
            <w:pPr>
              <w:spacing w:after="20"/>
            </w:pPr>
            <w:r>
              <w:rPr>
                <w:color w:val="0F2035"/>
                <w:sz w:val="15"/>
              </w:rPr>
              <w:t>C2 → C3</w:t>
            </w:r>
          </w:p>
        </w:tc>
        <w:tc>
          <w:tcPr>
            <w:tcW w:type="dxa" w:w="2333"/>
            <w:vAlign w:val="center"/>
            <w:shd w:fill="F0F5F7"/>
          </w:tcPr>
          <w:p>
            <w:pPr>
              <w:spacing w:after="20"/>
            </w:pPr>
            <w:r>
              <w:rPr>
                <w:color w:val="0F2035"/>
                <w:sz w:val="15"/>
              </w:rPr>
              <w:t>Confirmed case transcript; action values_ai</w:t>
            </w:r>
          </w:p>
        </w:tc>
        <w:tc>
          <w:tcPr>
            <w:tcW w:type="dxa" w:w="5760"/>
            <w:vAlign w:val="center"/>
            <w:shd w:fill="F0F5F7"/>
          </w:tcPr>
          <w:p>
            <w:pPr>
              <w:spacing w:after="20"/>
            </w:pPr>
            <w:r>
              <w:rPr>
                <w:color w:val="0F2035"/>
                <w:sz w:val="15"/>
              </w:rPr>
              <w:t>source.action; source.user_id; source.chat_id; session: study_id, case_id, visit_id, visit_date, pending_transcript</w:t>
            </w:r>
          </w:p>
        </w:tc>
      </w:tr>
      <w:tr>
        <w:tc>
          <w:tcPr>
            <w:tcW w:type="dxa" w:w="1512"/>
            <w:vAlign w:val="center"/>
          </w:tcPr>
          <w:p>
            <w:pPr>
              <w:spacing w:after="20"/>
            </w:pPr>
            <w:r>
              <w:rPr>
                <w:color w:val="0F2035"/>
                <w:sz w:val="15"/>
              </w:rPr>
              <w:t>C3 → C4</w:t>
            </w:r>
          </w:p>
        </w:tc>
        <w:tc>
          <w:tcPr>
            <w:tcW w:type="dxa" w:w="2333"/>
            <w:vAlign w:val="center"/>
          </w:tcPr>
          <w:p>
            <w:pPr>
              <w:spacing w:after="20"/>
            </w:pPr>
            <w:r>
              <w:rPr>
                <w:color w:val="0F2035"/>
                <w:sz w:val="15"/>
              </w:rPr>
              <w:t>Value draft after JSON validation</w:t>
            </w:r>
          </w:p>
        </w:tc>
        <w:tc>
          <w:tcPr>
            <w:tcW w:type="dxa" w:w="5760"/>
            <w:vAlign w:val="center"/>
          </w:tcPr>
          <w:p>
            <w:pPr>
              <w:spacing w:after="20"/>
            </w:pPr>
            <w:r>
              <w:rPr>
                <w:color w:val="0F2035"/>
                <w:sz w:val="15"/>
              </w:rPr>
              <w:t>draft.values{}, draft.evidence{}, draft.issues[], draft.missing[], draft.ignored[]; study.variables[]</w:t>
            </w:r>
          </w:p>
        </w:tc>
      </w:tr>
      <w:tr>
        <w:tc>
          <w:tcPr>
            <w:tcW w:type="dxa" w:w="1512"/>
            <w:vAlign w:val="center"/>
            <w:shd w:fill="F0F5F7"/>
          </w:tcPr>
          <w:p>
            <w:pPr>
              <w:spacing w:after="20"/>
            </w:pPr>
            <w:r>
              <w:rPr>
                <w:color w:val="0F2035"/>
                <w:sz w:val="15"/>
              </w:rPr>
              <w:t>C4 → C5</w:t>
            </w:r>
          </w:p>
        </w:tc>
        <w:tc>
          <w:tcPr>
            <w:tcW w:type="dxa" w:w="2333"/>
            <w:vAlign w:val="center"/>
            <w:shd w:fill="F0F5F7"/>
          </w:tcPr>
          <w:p>
            <w:pPr>
              <w:spacing w:after="20"/>
            </w:pPr>
            <w:r>
              <w:rPr>
                <w:color w:val="0F2035"/>
                <w:sz w:val="15"/>
              </w:rPr>
              <w:t>Judge/alerts complete; review displayed</w:t>
            </w:r>
          </w:p>
        </w:tc>
        <w:tc>
          <w:tcPr>
            <w:tcW w:type="dxa" w:w="5760"/>
            <w:vAlign w:val="center"/>
            <w:shd w:fill="F0F5F7"/>
          </w:tcPr>
          <w:p>
            <w:pPr>
              <w:spacing w:after="20"/>
            </w:pPr>
            <w:r>
              <w:rPr>
                <w:color w:val="0F2035"/>
                <w:sz w:val="15"/>
              </w:rPr>
              <w:t>evaluations[visit_id]: status, scores, average, overall_assessment, critical_safety_failure; monitor_alert_level; original review action=send_values</w:t>
            </w:r>
          </w:p>
        </w:tc>
      </w:tr>
      <w:tr>
        <w:tc>
          <w:tcPr>
            <w:tcW w:type="dxa" w:w="1512"/>
            <w:vAlign w:val="center"/>
          </w:tcPr>
          <w:p>
            <w:pPr>
              <w:spacing w:after="20"/>
            </w:pPr>
            <w:r>
              <w:rPr>
                <w:color w:val="0F2035"/>
                <w:sz w:val="15"/>
              </w:rPr>
              <w:t>C5 → Telegram</w:t>
            </w:r>
          </w:p>
        </w:tc>
        <w:tc>
          <w:tcPr>
            <w:tcW w:type="dxa" w:w="2333"/>
            <w:vAlign w:val="center"/>
          </w:tcPr>
          <w:p>
            <w:pPr>
              <w:spacing w:after="20"/>
            </w:pPr>
            <w:r>
              <w:rPr>
                <w:color w:val="0F2035"/>
                <w:sz w:val="15"/>
              </w:rPr>
              <w:t>Explicit Confirm &amp; Export</w:t>
            </w:r>
          </w:p>
        </w:tc>
        <w:tc>
          <w:tcPr>
            <w:tcW w:type="dxa" w:w="5760"/>
            <w:vAlign w:val="center"/>
          </w:tcPr>
          <w:p>
            <w:pPr>
              <w:spacing w:after="20"/>
            </w:pPr>
            <w:r>
              <w:rPr>
                <w:color w:val="0F2035"/>
                <w:sz w:val="15"/>
              </w:rPr>
              <w:t>record_id=visit_id; confirmed_at; approved XLSX binary; delivery receipt message_id</w:t>
            </w:r>
          </w:p>
        </w:tc>
      </w:tr>
      <w:tr>
        <w:tc>
          <w:tcPr>
            <w:tcW w:type="dxa" w:w="1512"/>
            <w:vAlign w:val="center"/>
            <w:shd w:fill="F0F5F7"/>
          </w:tcPr>
          <w:p>
            <w:pPr>
              <w:spacing w:after="20"/>
            </w:pPr>
            <w:r>
              <w:rPr>
                <w:color w:val="0F2035"/>
                <w:sz w:val="15"/>
              </w:rPr>
              <w:t>C4 → LangSmith</w:t>
            </w:r>
          </w:p>
        </w:tc>
        <w:tc>
          <w:tcPr>
            <w:tcW w:type="dxa" w:w="2333"/>
            <w:vAlign w:val="center"/>
            <w:shd w:fill="F0F5F7"/>
          </w:tcPr>
          <w:p>
            <w:pPr>
              <w:spacing w:after="20"/>
            </w:pPr>
            <w:r>
              <w:rPr>
                <w:color w:val="0F2035"/>
                <w:sz w:val="15"/>
              </w:rPr>
              <w:t>Quality checkpoint created after judging</w:t>
            </w:r>
          </w:p>
        </w:tc>
        <w:tc>
          <w:tcPr>
            <w:tcW w:type="dxa" w:w="5760"/>
            <w:vAlign w:val="center"/>
            <w:shd w:fill="F0F5F7"/>
          </w:tcPr>
          <w:p>
            <w:pPr>
              <w:spacing w:after="20"/>
            </w:pPr>
            <w:r>
              <w:rPr>
                <w:color w:val="0F2035"/>
                <w:sz w:val="15"/>
              </w:rPr>
              <w:t>session_name=ResearchVoice-AI-Graduation; QA summary, scores, alert metadata; no raw text, IDs, audio</w:t>
            </w:r>
          </w:p>
        </w:tc>
      </w:tr>
    </w:tbl>
    <w:p>
      <w:pPr>
        <w:spacing w:after="0"/>
      </w:pPr>
    </w:p>
    <w:p>
      <w:pPr>
        <w:pStyle w:val="Heading2"/>
      </w:pPr>
      <w:r>
        <w:t>Integration and change control</w:t>
      </w:r>
    </w:p>
    <w:p>
      <w:pPr>
        <w:pStyle w:val="ListBullet"/>
        <w:spacing w:after="60"/>
        <w:ind w:left="288"/>
      </w:pPr>
      <w:r>
        <w:t>Only one published Telegram Trigger per bot. No manual copying between components in live execution.</w:t>
      </w:r>
    </w:p>
    <w:p>
      <w:pPr>
        <w:pStyle w:val="ListBullet"/>
        <w:spacing w:after="60"/>
        <w:ind w:left="288"/>
      </w:pPr>
      <w:r>
        <w:t>Schema fields are case-sensitive; the transcription mismatch HCBA1C vs HbA1c was correctly flagged for human review.</w:t>
      </w:r>
    </w:p>
    <w:p>
      <w:pPr>
        <w:pStyle w:val="ListBullet"/>
        <w:spacing w:after="60"/>
        <w:ind w:left="288"/>
      </w:pPr>
      <w:r>
        <w:t>Current state is stored in n8n workflow static data, not a durable database; imports and concurrent runs can affect sessions. Do not treat it as production storage.</w:t>
      </w:r>
    </w:p>
    <w:p>
      <w:pPr>
        <w:pStyle w:val="ListBullet"/>
        <w:spacing w:after="60"/>
        <w:ind w:left="288"/>
      </w:pPr>
      <w:r>
        <w:t>Integration Owner [assign] approves input/output changes and updates this A3 table on the day of change.</w:t>
      </w:r>
    </w:p>
    <w:p>
      <w:r>
        <w:br w:type="page"/>
      </w:r>
    </w:p>
    <w:p>
      <w:pPr>
        <w:pStyle w:val="Title"/>
      </w:pPr>
      <w:r>
        <w:t>Safety Plan</w:t>
      </w:r>
    </w:p>
    <w:p>
      <w:pPr>
        <w:spacing w:after="100"/>
      </w:pPr>
      <w:r>
        <w:rPr>
          <w:color w:val="5D6875"/>
          <w:sz w:val="16"/>
        </w:rPr>
        <w:t>Phase 2 requirement: synthetic source, PHI boundary, risk tiers, refusal/escalation and human approval.</w:t>
      </w:r>
    </w:p>
    <w:p>
      <w:pPr>
        <w:pStyle w:val="Heading2"/>
      </w:pPr>
      <w:r>
        <w:t>Data and PHI boundary</w:t>
      </w:r>
    </w:p>
    <w:p>
      <w:r>
        <w:t>All demonstration observations are fictional or fully de-identified. A synthetic-only warning appears in Telegram. Typed input and Groq-returned transcripts are screened with best-effort rules for apparent emails, phones, ID numbers, identifying labels, instruction attacks, and requests for clinical decisions. Screening is incomplete and cannot guarantee PHI prevention.</w:t>
      </w:r>
    </w:p>
    <w:p>
      <w:r>
        <w:t>Critical limitation: with /voiceon, AUDIO IS SENT TO GROQ before its words can be screened. Telegram already receives all submitted messages and media before workflow rules execute. Therefore real patient recordings and identifiable patient data are out of scope. External Gemini judge requests also receive synthetic transcript context; LangSmith only receives summary QA metadata in the current implementation.</w:t>
      </w:r>
    </w:p>
    <w:p>
      <w:pPr>
        <w:pStyle w:val="Heading2"/>
      </w:pPr>
      <w:r>
        <w:t>Proposed component risk tiers</w:t>
      </w:r>
    </w:p>
    <w:tbl>
      <w:tblPr>
        <w:tblStyle w:val="TableGrid"/>
        <w:tblW w:type="auto" w:w="0"/>
        <w:jc w:val="center"/>
        <w:tblLook w:firstColumn="1" w:firstRow="1" w:lastColumn="0" w:lastRow="0" w:noHBand="0" w:noVBand="1" w:val="04A0"/>
      </w:tblPr>
      <w:tblGrid>
        <w:gridCol w:w="3379"/>
        <w:gridCol w:w="3379"/>
        <w:gridCol w:w="3379"/>
      </w:tblGrid>
      <w:tr>
        <w:trPr>
          <w:tblHeader w:val="true"/>
        </w:trPr>
        <w:tc>
          <w:tcPr>
            <w:tcW w:type="dxa" w:w="2232"/>
            <w:shd w:fill="0F2035"/>
          </w:tcPr>
          <w:p>
            <w:r>
              <w:rPr>
                <w:b/>
                <w:color w:val="FFFFFF"/>
                <w:sz w:val="15"/>
              </w:rPr>
              <w:t>Component</w:t>
            </w:r>
          </w:p>
        </w:tc>
        <w:tc>
          <w:tcPr>
            <w:tcW w:type="dxa" w:w="979"/>
            <w:shd w:fill="0F2035"/>
          </w:tcPr>
          <w:p>
            <w:r>
              <w:rPr>
                <w:b/>
                <w:color w:val="FFFFFF"/>
                <w:sz w:val="15"/>
              </w:rPr>
              <w:t>Tier</w:t>
            </w:r>
          </w:p>
        </w:tc>
        <w:tc>
          <w:tcPr>
            <w:tcW w:type="dxa" w:w="6365"/>
            <w:shd w:fill="0F2035"/>
          </w:tcPr>
          <w:p>
            <w:r>
              <w:rPr>
                <w:b/>
                <w:color w:val="FFFFFF"/>
                <w:sz w:val="15"/>
              </w:rPr>
              <w:t>Rationale / approval</w:t>
            </w:r>
          </w:p>
        </w:tc>
      </w:tr>
      <w:tr>
        <w:tc>
          <w:tcPr>
            <w:tcW w:type="dxa" w:w="2232"/>
            <w:vAlign w:val="center"/>
          </w:tcPr>
          <w:p>
            <w:pPr>
              <w:spacing w:after="20"/>
            </w:pPr>
            <w:r>
              <w:rPr>
                <w:color w:val="0F2035"/>
                <w:sz w:val="15"/>
              </w:rPr>
              <w:t>C1 Study/schema</w:t>
            </w:r>
          </w:p>
        </w:tc>
        <w:tc>
          <w:tcPr>
            <w:tcW w:type="dxa" w:w="979"/>
            <w:vAlign w:val="center"/>
          </w:tcPr>
          <w:p>
            <w:pPr>
              <w:spacing w:after="20"/>
            </w:pPr>
            <w:r>
              <w:rPr>
                <w:color w:val="0F2035"/>
                <w:sz w:val="15"/>
              </w:rPr>
              <w:t>Medium</w:t>
            </w:r>
          </w:p>
        </w:tc>
        <w:tc>
          <w:tcPr>
            <w:tcW w:type="dxa" w:w="6365"/>
            <w:vAlign w:val="center"/>
          </w:tcPr>
          <w:p>
            <w:pPr>
              <w:spacing w:after="20"/>
            </w:pPr>
            <w:r>
              <w:rPr>
                <w:color w:val="0F2035"/>
                <w:sz w:val="15"/>
              </w:rPr>
              <w:t>Researcher explicitly approves definitions.</w:t>
            </w:r>
          </w:p>
        </w:tc>
      </w:tr>
      <w:tr>
        <w:tc>
          <w:tcPr>
            <w:tcW w:type="dxa" w:w="2232"/>
            <w:vAlign w:val="center"/>
            <w:shd w:fill="F0F5F7"/>
          </w:tcPr>
          <w:p>
            <w:pPr>
              <w:spacing w:after="20"/>
            </w:pPr>
            <w:r>
              <w:rPr>
                <w:color w:val="0F2035"/>
                <w:sz w:val="15"/>
              </w:rPr>
              <w:t>C2 Intake/privacy</w:t>
            </w:r>
          </w:p>
        </w:tc>
        <w:tc>
          <w:tcPr>
            <w:tcW w:type="dxa" w:w="979"/>
            <w:vAlign w:val="center"/>
            <w:shd w:fill="F0F5F7"/>
          </w:tcPr>
          <w:p>
            <w:pPr>
              <w:spacing w:after="20"/>
            </w:pPr>
            <w:r>
              <w:rPr>
                <w:color w:val="0F2035"/>
                <w:sz w:val="15"/>
              </w:rPr>
              <w:t>High</w:t>
            </w:r>
          </w:p>
        </w:tc>
        <w:tc>
          <w:tcPr>
            <w:tcW w:type="dxa" w:w="6365"/>
            <w:vAlign w:val="center"/>
            <w:shd w:fill="F0F5F7"/>
          </w:tcPr>
          <w:p>
            <w:pPr>
              <w:spacing w:after="20"/>
            </w:pPr>
            <w:r>
              <w:rPr>
                <w:color w:val="0F2035"/>
                <w:sz w:val="15"/>
              </w:rPr>
              <w:t>External audio; text PHI gate is best-effort.</w:t>
            </w:r>
          </w:p>
        </w:tc>
      </w:tr>
      <w:tr>
        <w:tc>
          <w:tcPr>
            <w:tcW w:type="dxa" w:w="2232"/>
            <w:vAlign w:val="center"/>
          </w:tcPr>
          <w:p>
            <w:pPr>
              <w:spacing w:after="20"/>
            </w:pPr>
            <w:r>
              <w:rPr>
                <w:color w:val="0F2035"/>
                <w:sz w:val="15"/>
              </w:rPr>
              <w:t>C3 Extraction</w:t>
            </w:r>
          </w:p>
        </w:tc>
        <w:tc>
          <w:tcPr>
            <w:tcW w:type="dxa" w:w="979"/>
            <w:vAlign w:val="center"/>
          </w:tcPr>
          <w:p>
            <w:pPr>
              <w:spacing w:after="20"/>
            </w:pPr>
            <w:r>
              <w:rPr>
                <w:color w:val="0F2035"/>
                <w:sz w:val="15"/>
              </w:rPr>
              <w:t>High</w:t>
            </w:r>
          </w:p>
        </w:tc>
        <w:tc>
          <w:tcPr>
            <w:tcW w:type="dxa" w:w="6365"/>
            <w:vAlign w:val="center"/>
          </w:tcPr>
          <w:p>
            <w:pPr>
              <w:spacing w:after="20"/>
            </w:pPr>
            <w:r>
              <w:rPr>
                <w:color w:val="0F2035"/>
                <w:sz w:val="15"/>
              </w:rPr>
              <w:t>Potential wrong fields; researcher checks evidence.</w:t>
            </w:r>
          </w:p>
        </w:tc>
      </w:tr>
      <w:tr>
        <w:tc>
          <w:tcPr>
            <w:tcW w:type="dxa" w:w="2232"/>
            <w:vAlign w:val="center"/>
            <w:shd w:fill="F0F5F7"/>
          </w:tcPr>
          <w:p>
            <w:pPr>
              <w:spacing w:after="20"/>
            </w:pPr>
            <w:r>
              <w:rPr>
                <w:color w:val="0F2035"/>
                <w:sz w:val="15"/>
              </w:rPr>
              <w:t>C4 QA/monitor</w:t>
            </w:r>
          </w:p>
        </w:tc>
        <w:tc>
          <w:tcPr>
            <w:tcW w:type="dxa" w:w="979"/>
            <w:vAlign w:val="center"/>
            <w:shd w:fill="F0F5F7"/>
          </w:tcPr>
          <w:p>
            <w:pPr>
              <w:spacing w:after="20"/>
            </w:pPr>
            <w:r>
              <w:rPr>
                <w:color w:val="0F2035"/>
                <w:sz w:val="15"/>
              </w:rPr>
              <w:t>High</w:t>
            </w:r>
          </w:p>
        </w:tc>
        <w:tc>
          <w:tcPr>
            <w:tcW w:type="dxa" w:w="6365"/>
            <w:vAlign w:val="center"/>
            <w:shd w:fill="F0F5F7"/>
          </w:tcPr>
          <w:p>
            <w:pPr>
              <w:spacing w:after="20"/>
            </w:pPr>
            <w:r>
              <w:rPr>
                <w:color w:val="0F2035"/>
                <w:sz w:val="15"/>
              </w:rPr>
              <w:t>Uncalibrated LLM judge; critical alert holds export.</w:t>
            </w:r>
          </w:p>
        </w:tc>
      </w:tr>
      <w:tr>
        <w:tc>
          <w:tcPr>
            <w:tcW w:type="dxa" w:w="2232"/>
            <w:vAlign w:val="center"/>
          </w:tcPr>
          <w:p>
            <w:pPr>
              <w:spacing w:after="20"/>
            </w:pPr>
            <w:r>
              <w:rPr>
                <w:color w:val="0F2035"/>
                <w:sz w:val="15"/>
              </w:rPr>
              <w:t>C5 Approval/export</w:t>
            </w:r>
          </w:p>
        </w:tc>
        <w:tc>
          <w:tcPr>
            <w:tcW w:type="dxa" w:w="979"/>
            <w:vAlign w:val="center"/>
          </w:tcPr>
          <w:p>
            <w:pPr>
              <w:spacing w:after="20"/>
            </w:pPr>
            <w:r>
              <w:rPr>
                <w:color w:val="0F2035"/>
                <w:sz w:val="15"/>
              </w:rPr>
              <w:t>High</w:t>
            </w:r>
          </w:p>
        </w:tc>
        <w:tc>
          <w:tcPr>
            <w:tcW w:type="dxa" w:w="6365"/>
            <w:vAlign w:val="center"/>
          </w:tcPr>
          <w:p>
            <w:pPr>
              <w:spacing w:after="20"/>
            </w:pPr>
            <w:r>
              <w:rPr>
                <w:color w:val="0F2035"/>
                <w:sz w:val="15"/>
              </w:rPr>
              <w:t>Researcher confirmation required before file delivery.</w:t>
            </w:r>
          </w:p>
        </w:tc>
      </w:tr>
    </w:tbl>
    <w:p>
      <w:pPr>
        <w:spacing w:after="0"/>
      </w:pPr>
    </w:p>
    <w:p>
      <w:pPr>
        <w:pStyle w:val="Heading2"/>
      </w:pPr>
      <w:r>
        <w:t>Refusals, escalation and limits</w:t>
      </w:r>
    </w:p>
    <w:p>
      <w:pPr>
        <w:pStyle w:val="ListBullet"/>
        <w:spacing w:after="60"/>
        <w:ind w:left="288"/>
      </w:pPr>
      <w:r>
        <w:t>Clinical requests (diagnosis, prescribing, changing treatment) → refuse, direct to qualified clinician; do not generate advice.</w:t>
      </w:r>
    </w:p>
    <w:p>
      <w:pPr>
        <w:pStyle w:val="ListBullet"/>
        <w:spacing w:after="60"/>
        <w:ind w:left="288"/>
      </w:pPr>
      <w:r>
        <w:t>Identifier or prompt injection detected → block forwarding to Gemini and request synthetic replacement; note voice may already have reached Groq.</w:t>
      </w:r>
    </w:p>
    <w:p>
      <w:pPr>
        <w:pStyle w:val="ListBullet"/>
        <w:spacing w:after="60"/>
        <w:ind w:left="288"/>
      </w:pPr>
      <w:r>
        <w:t>Unclear/missing/contradictory field → flag and require explicit correction or accepted blank; never silently infer.</w:t>
      </w:r>
    </w:p>
    <w:p>
      <w:pPr>
        <w:pStyle w:val="ListBullet"/>
        <w:spacing w:after="60"/>
        <w:ind w:left="288"/>
      </w:pPr>
      <w:r>
        <w:t>Judge hard criterion: safety or factual_accuracy &lt;=2/5, or critical_safety_failure → hold export; alert researcher; /redo for corrected synthetic input.</w:t>
      </w:r>
    </w:p>
    <w:p>
      <w:pPr>
        <w:pStyle w:val="ListBullet"/>
        <w:spacing w:after="60"/>
        <w:ind w:left="288"/>
      </w:pPr>
      <w:r>
        <w:t>Soft criterion: any dimension &lt;=3, judge failure, or unresolved extraction issue → researcher QA notification. Alerts are QA aids, not certified clinical rules.</w:t>
      </w:r>
    </w:p>
    <w:p>
      <w:pPr>
        <w:spacing w:after="100"/>
      </w:pPr>
      <w:r>
        <w:rPr>
          <w:color w:val="5D6875"/>
          <w:sz w:val="16"/>
        </w:rPr>
        <w:t>Pending sign-off: actual named escalation owner, clinical governance authorization for any future real-data pilot, and independent safety verification.</w:t>
      </w:r>
    </w:p>
    <w:p>
      <w:r>
        <w:br w:type="page"/>
      </w:r>
    </w:p>
    <w:p>
      <w:pPr>
        <w:pStyle w:val="Title"/>
      </w:pPr>
      <w:r>
        <w:t>Evaluation &amp; Monitoring Plan</w:t>
      </w:r>
    </w:p>
    <w:p>
      <w:pPr>
        <w:spacing w:after="100"/>
      </w:pPr>
      <w:r>
        <w:rPr>
          <w:color w:val="5D6875"/>
          <w:sz w:val="16"/>
        </w:rPr>
        <w:t>Phase 2 requirement: judge, LangSmith tracing, dashboard, thresholds and notification owner.</w:t>
      </w:r>
    </w:p>
    <w:p>
      <w:pPr>
        <w:pStyle w:val="Heading2"/>
      </w:pPr>
      <w:r>
        <w:t>Independent LLM-as-judge rubric (1–5)</w:t>
      </w:r>
    </w:p>
    <w:tbl>
      <w:tblPr>
        <w:tblStyle w:val="TableGrid"/>
        <w:tblW w:type="auto" w:w="0"/>
        <w:jc w:val="center"/>
        <w:tblLook w:firstColumn="1" w:firstRow="1" w:lastColumn="0" w:lastRow="0" w:noHBand="0" w:noVBand="1" w:val="04A0"/>
      </w:tblPr>
      <w:tblGrid>
        <w:gridCol w:w="3379"/>
        <w:gridCol w:w="3379"/>
        <w:gridCol w:w="3379"/>
      </w:tblGrid>
      <w:tr>
        <w:trPr>
          <w:tblHeader w:val="true"/>
        </w:trPr>
        <w:tc>
          <w:tcPr>
            <w:tcW w:type="dxa" w:w="1944"/>
            <w:shd w:fill="0F2035"/>
          </w:tcPr>
          <w:p>
            <w:r>
              <w:rPr>
                <w:b/>
                <w:color w:val="FFFFFF"/>
                <w:sz w:val="15"/>
              </w:rPr>
              <w:t>Dimension</w:t>
            </w:r>
          </w:p>
        </w:tc>
        <w:tc>
          <w:tcPr>
            <w:tcW w:type="dxa" w:w="3960"/>
            <w:shd w:fill="0F2035"/>
          </w:tcPr>
          <w:p>
            <w:r>
              <w:rPr>
                <w:b/>
                <w:color w:val="FFFFFF"/>
                <w:sz w:val="15"/>
              </w:rPr>
              <w:t>5 means</w:t>
            </w:r>
          </w:p>
        </w:tc>
        <w:tc>
          <w:tcPr>
            <w:tcW w:type="dxa" w:w="3672"/>
            <w:shd w:fill="0F2035"/>
          </w:tcPr>
          <w:p>
            <w:r>
              <w:rPr>
                <w:b/>
                <w:color w:val="FFFFFF"/>
                <w:sz w:val="15"/>
              </w:rPr>
              <w:t>Low-score interpretation</w:t>
            </w:r>
          </w:p>
        </w:tc>
      </w:tr>
      <w:tr>
        <w:tc>
          <w:tcPr>
            <w:tcW w:type="dxa" w:w="1944"/>
            <w:vAlign w:val="center"/>
          </w:tcPr>
          <w:p>
            <w:pPr>
              <w:spacing w:after="20"/>
            </w:pPr>
            <w:r>
              <w:rPr>
                <w:color w:val="0F2035"/>
                <w:sz w:val="15"/>
              </w:rPr>
              <w:t>Factual accuracy</w:t>
            </w:r>
          </w:p>
        </w:tc>
        <w:tc>
          <w:tcPr>
            <w:tcW w:type="dxa" w:w="3960"/>
            <w:vAlign w:val="center"/>
          </w:tcPr>
          <w:p>
            <w:pPr>
              <w:spacing w:after="20"/>
            </w:pPr>
            <w:r>
              <w:rPr>
                <w:color w:val="0F2035"/>
                <w:sz w:val="15"/>
              </w:rPr>
              <w:t>Extracted values and units match explicit synthetic source</w:t>
            </w:r>
          </w:p>
        </w:tc>
        <w:tc>
          <w:tcPr>
            <w:tcW w:type="dxa" w:w="3672"/>
            <w:vAlign w:val="center"/>
          </w:tcPr>
          <w:p>
            <w:pPr>
              <w:spacing w:after="20"/>
            </w:pPr>
            <w:r>
              <w:rPr>
                <w:color w:val="0F2035"/>
                <w:sz w:val="15"/>
              </w:rPr>
              <w:t>2: unsupported or wrong fact; 1: serious contradiction</w:t>
            </w:r>
          </w:p>
        </w:tc>
      </w:tr>
      <w:tr>
        <w:tc>
          <w:tcPr>
            <w:tcW w:type="dxa" w:w="1944"/>
            <w:vAlign w:val="center"/>
            <w:shd w:fill="F0F5F7"/>
          </w:tcPr>
          <w:p>
            <w:pPr>
              <w:spacing w:after="20"/>
            </w:pPr>
            <w:r>
              <w:rPr>
                <w:color w:val="0F2035"/>
                <w:sz w:val="15"/>
              </w:rPr>
              <w:t>Groundedness</w:t>
            </w:r>
          </w:p>
        </w:tc>
        <w:tc>
          <w:tcPr>
            <w:tcW w:type="dxa" w:w="3960"/>
            <w:vAlign w:val="center"/>
            <w:shd w:fill="F0F5F7"/>
          </w:tcPr>
          <w:p>
            <w:pPr>
              <w:spacing w:after="20"/>
            </w:pPr>
            <w:r>
              <w:rPr>
                <w:color w:val="0F2035"/>
                <w:sz w:val="15"/>
              </w:rPr>
              <w:t>All fields have exact source evidence</w:t>
            </w:r>
          </w:p>
        </w:tc>
        <w:tc>
          <w:tcPr>
            <w:tcW w:type="dxa" w:w="3672"/>
            <w:vAlign w:val="center"/>
            <w:shd w:fill="F0F5F7"/>
          </w:tcPr>
          <w:p>
            <w:pPr>
              <w:spacing w:after="20"/>
            </w:pPr>
            <w:r>
              <w:rPr>
                <w:color w:val="0F2035"/>
                <w:sz w:val="15"/>
              </w:rPr>
              <w:t>2: mismatched evidence; 1: invented citations</w:t>
            </w:r>
          </w:p>
        </w:tc>
      </w:tr>
      <w:tr>
        <w:tc>
          <w:tcPr>
            <w:tcW w:type="dxa" w:w="1944"/>
            <w:vAlign w:val="center"/>
          </w:tcPr>
          <w:p>
            <w:pPr>
              <w:spacing w:after="20"/>
            </w:pPr>
            <w:r>
              <w:rPr>
                <w:color w:val="0F2035"/>
                <w:sz w:val="15"/>
              </w:rPr>
              <w:t>Safety compliance</w:t>
            </w:r>
          </w:p>
        </w:tc>
        <w:tc>
          <w:tcPr>
            <w:tcW w:type="dxa" w:w="3960"/>
            <w:vAlign w:val="center"/>
          </w:tcPr>
          <w:p>
            <w:pPr>
              <w:spacing w:after="20"/>
            </w:pPr>
            <w:r>
              <w:rPr>
                <w:color w:val="0F2035"/>
                <w:sz w:val="15"/>
              </w:rPr>
              <w:t>No observed PHI leakage/clinical advice/override</w:t>
            </w:r>
          </w:p>
        </w:tc>
        <w:tc>
          <w:tcPr>
            <w:tcW w:type="dxa" w:w="3672"/>
            <w:vAlign w:val="center"/>
          </w:tcPr>
          <w:p>
            <w:pPr>
              <w:spacing w:after="20"/>
            </w:pPr>
            <w:r>
              <w:rPr>
                <w:color w:val="0F2035"/>
                <w:sz w:val="15"/>
              </w:rPr>
              <w:t>2: unsafe output; 1: serious disclosure/override</w:t>
            </w:r>
          </w:p>
        </w:tc>
      </w:tr>
      <w:tr>
        <w:tc>
          <w:tcPr>
            <w:tcW w:type="dxa" w:w="1944"/>
            <w:vAlign w:val="center"/>
            <w:shd w:fill="F0F5F7"/>
          </w:tcPr>
          <w:p>
            <w:pPr>
              <w:spacing w:after="20"/>
            </w:pPr>
            <w:r>
              <w:rPr>
                <w:color w:val="0F2035"/>
                <w:sz w:val="15"/>
              </w:rPr>
              <w:t>Format adherence</w:t>
            </w:r>
          </w:p>
        </w:tc>
        <w:tc>
          <w:tcPr>
            <w:tcW w:type="dxa" w:w="3960"/>
            <w:vAlign w:val="center"/>
            <w:shd w:fill="F0F5F7"/>
          </w:tcPr>
          <w:p>
            <w:pPr>
              <w:spacing w:after="20"/>
            </w:pPr>
            <w:r>
              <w:rPr>
                <w:color w:val="0F2035"/>
                <w:sz w:val="15"/>
              </w:rPr>
              <w:t>Schema, types, units, missing handling valid</w:t>
            </w:r>
          </w:p>
        </w:tc>
        <w:tc>
          <w:tcPr>
            <w:tcW w:type="dxa" w:w="3672"/>
            <w:vAlign w:val="center"/>
            <w:shd w:fill="F0F5F7"/>
          </w:tcPr>
          <w:p>
            <w:pPr>
              <w:spacing w:after="20"/>
            </w:pPr>
            <w:r>
              <w:rPr>
                <w:color w:val="0F2035"/>
                <w:sz w:val="15"/>
              </w:rPr>
              <w:t>2: major violation; 1: unusable output</w:t>
            </w:r>
          </w:p>
        </w:tc>
      </w:tr>
      <w:tr>
        <w:tc>
          <w:tcPr>
            <w:tcW w:type="dxa" w:w="1944"/>
            <w:vAlign w:val="center"/>
          </w:tcPr>
          <w:p>
            <w:pPr>
              <w:spacing w:after="20"/>
            </w:pPr>
            <w:r>
              <w:rPr>
                <w:color w:val="0F2035"/>
                <w:sz w:val="15"/>
              </w:rPr>
              <w:t>Bias / neutrality</w:t>
            </w:r>
          </w:p>
        </w:tc>
        <w:tc>
          <w:tcPr>
            <w:tcW w:type="dxa" w:w="3960"/>
            <w:vAlign w:val="center"/>
          </w:tcPr>
          <w:p>
            <w:pPr>
              <w:spacing w:after="20"/>
            </w:pPr>
            <w:r>
              <w:rPr>
                <w:color w:val="0F2035"/>
                <w:sz w:val="15"/>
              </w:rPr>
              <w:t>No observed demographic assumptions in this sample</w:t>
            </w:r>
          </w:p>
        </w:tc>
        <w:tc>
          <w:tcPr>
            <w:tcW w:type="dxa" w:w="3672"/>
            <w:vAlign w:val="center"/>
          </w:tcPr>
          <w:p>
            <w:pPr>
              <w:spacing w:after="20"/>
            </w:pPr>
            <w:r>
              <w:rPr>
                <w:color w:val="0F2035"/>
                <w:sz w:val="15"/>
              </w:rPr>
              <w:t>2: unjustified assumption; 1: discriminatory stereotype</w:t>
            </w:r>
          </w:p>
        </w:tc>
      </w:tr>
    </w:tbl>
    <w:p>
      <w:pPr>
        <w:spacing w:after="0"/>
      </w:pPr>
    </w:p>
    <w:p>
      <w:r>
        <w:t>Judge scores the draft BEFORE later researcher corrections; a correction does not rewrite the earlier score. LLM judge scores are uncalibrated. Two independent teammates who did not build the evaluated component must assess the same three synthetic scenarios and compare scores. Calibration results and the final rubric belong in Phase 4 Test Report.</w:t>
      </w:r>
    </w:p>
    <w:p>
      <w:pPr>
        <w:pStyle w:val="Heading2"/>
      </w:pPr>
      <w:r>
        <w:t>Tracing and dashboard</w:t>
      </w:r>
    </w:p>
    <w:p>
      <w:r>
        <w:t>Confirmed today: LangSmith receives one privacy-minimized QA checkpoint for a completed draft and displays judge scores, outcome and timing; `/monitor` shows rolling quality metrics. NOT YET COMPLETE against the guideline: tracing every workflow run, model call, and input/output step. Current LangSmith tracing is a checkpoint, not full end-to-end instrumentation.</w:t>
      </w:r>
    </w:p>
    <w:p>
      <w:r>
        <w:t>Dashboard for the checkpoint: the five Business Brief KPIs with measured actuals; judge average and five subscores; evaluation passes/fails; judge processing duration (NOT full-case latency); counts of safety/escalation alerts; export delivery results. Name a dashboard owner [Evaluation Owner — confirm].</w:t>
      </w:r>
    </w:p>
    <w:p>
      <w:pPr>
        <w:pStyle w:val="Heading2"/>
      </w:pPr>
      <w:r>
        <w:t>Alert thresholds and responsibility</w:t>
      </w:r>
    </w:p>
    <w:tbl>
      <w:tblPr>
        <w:tblStyle w:val="TableGrid"/>
        <w:tblW w:type="auto" w:w="0"/>
        <w:jc w:val="center"/>
        <w:tblLook w:firstColumn="1" w:firstRow="1" w:lastColumn="0" w:lastRow="0" w:noHBand="0" w:noVBand="1" w:val="04A0"/>
      </w:tblPr>
      <w:tblGrid>
        <w:gridCol w:w="3379"/>
        <w:gridCol w:w="3379"/>
        <w:gridCol w:w="3379"/>
      </w:tblGrid>
      <w:tr>
        <w:trPr>
          <w:tblHeader w:val="true"/>
        </w:trPr>
        <w:tc>
          <w:tcPr>
            <w:tcW w:type="dxa" w:w="1109"/>
            <w:shd w:fill="0F2035"/>
          </w:tcPr>
          <w:p>
            <w:r>
              <w:rPr>
                <w:b/>
                <w:color w:val="FFFFFF"/>
                <w:sz w:val="15"/>
              </w:rPr>
              <w:t>Level</w:t>
            </w:r>
          </w:p>
        </w:tc>
        <w:tc>
          <w:tcPr>
            <w:tcW w:type="dxa" w:w="3917"/>
            <w:shd w:fill="0F2035"/>
          </w:tcPr>
          <w:p>
            <w:r>
              <w:rPr>
                <w:b/>
                <w:color w:val="FFFFFF"/>
                <w:sz w:val="15"/>
              </w:rPr>
              <w:t>Trigger</w:t>
            </w:r>
          </w:p>
        </w:tc>
        <w:tc>
          <w:tcPr>
            <w:tcW w:type="dxa" w:w="4550"/>
            <w:shd w:fill="0F2035"/>
          </w:tcPr>
          <w:p>
            <w:r>
              <w:rPr>
                <w:b/>
                <w:color w:val="FFFFFF"/>
                <w:sz w:val="15"/>
              </w:rPr>
              <w:t>Action / recipient</w:t>
            </w:r>
          </w:p>
        </w:tc>
      </w:tr>
      <w:tr>
        <w:tc>
          <w:tcPr>
            <w:tcW w:type="dxa" w:w="1109"/>
            <w:vAlign w:val="center"/>
          </w:tcPr>
          <w:p>
            <w:pPr>
              <w:spacing w:after="20"/>
            </w:pPr>
            <w:r>
              <w:rPr>
                <w:color w:val="0F2035"/>
                <w:sz w:val="15"/>
              </w:rPr>
              <w:t>Soft</w:t>
            </w:r>
          </w:p>
        </w:tc>
        <w:tc>
          <w:tcPr>
            <w:tcW w:type="dxa" w:w="3917"/>
            <w:vAlign w:val="center"/>
          </w:tcPr>
          <w:p>
            <w:pPr>
              <w:spacing w:after="20"/>
            </w:pPr>
            <w:r>
              <w:rPr>
                <w:color w:val="0F2035"/>
                <w:sz w:val="15"/>
              </w:rPr>
              <w:t>Any judge score &lt;=3/5, failed judge, unresolved draft issue</w:t>
            </w:r>
          </w:p>
        </w:tc>
        <w:tc>
          <w:tcPr>
            <w:tcW w:type="dxa" w:w="4550"/>
            <w:vAlign w:val="center"/>
          </w:tcPr>
          <w:p>
            <w:pPr>
              <w:spacing w:after="20"/>
            </w:pPr>
            <w:r>
              <w:rPr>
                <w:color w:val="0F2035"/>
                <w:sz w:val="15"/>
              </w:rPr>
              <w:t>Notify researcher in Telegram; manual review. Evaluation Owner monitors trend.</w:t>
            </w:r>
          </w:p>
        </w:tc>
      </w:tr>
      <w:tr>
        <w:tc>
          <w:tcPr>
            <w:tcW w:type="dxa" w:w="1109"/>
            <w:vAlign w:val="center"/>
            <w:shd w:fill="F0F5F7"/>
          </w:tcPr>
          <w:p>
            <w:pPr>
              <w:spacing w:after="20"/>
            </w:pPr>
            <w:r>
              <w:rPr>
                <w:color w:val="0F2035"/>
                <w:sz w:val="15"/>
              </w:rPr>
              <w:t>Hard</w:t>
            </w:r>
          </w:p>
        </w:tc>
        <w:tc>
          <w:tcPr>
            <w:tcW w:type="dxa" w:w="3917"/>
            <w:vAlign w:val="center"/>
            <w:shd w:fill="F0F5F7"/>
          </w:tcPr>
          <w:p>
            <w:pPr>
              <w:spacing w:after="20"/>
            </w:pPr>
            <w:r>
              <w:rPr>
                <w:color w:val="0F2035"/>
                <w:sz w:val="15"/>
              </w:rPr>
              <w:t>Safety &lt;=2/5 or factual &lt;=2/5, or critical safety flag</w:t>
            </w:r>
          </w:p>
        </w:tc>
        <w:tc>
          <w:tcPr>
            <w:tcW w:type="dxa" w:w="4550"/>
            <w:vAlign w:val="center"/>
            <w:shd w:fill="F0F5F7"/>
          </w:tcPr>
          <w:p>
            <w:pPr>
              <w:spacing w:after="20"/>
            </w:pPr>
            <w:r>
              <w:rPr>
                <w:color w:val="0F2035"/>
                <w:sz w:val="15"/>
              </w:rPr>
              <w:t>Pause export for that visit, notify researcher; corrected data re-evaluated via /redo.</w:t>
            </w:r>
          </w:p>
        </w:tc>
      </w:tr>
      <w:tr>
        <w:tc>
          <w:tcPr>
            <w:tcW w:type="dxa" w:w="1109"/>
            <w:vAlign w:val="center"/>
          </w:tcPr>
          <w:p>
            <w:pPr>
              <w:spacing w:after="20"/>
            </w:pPr>
            <w:r>
              <w:rPr>
                <w:color w:val="0F2035"/>
                <w:sz w:val="15"/>
              </w:rPr>
              <w:t>Transport</w:t>
            </w:r>
          </w:p>
        </w:tc>
        <w:tc>
          <w:tcPr>
            <w:tcW w:type="dxa" w:w="3917"/>
            <w:vAlign w:val="center"/>
          </w:tcPr>
          <w:p>
            <w:pPr>
              <w:spacing w:after="20"/>
            </w:pPr>
            <w:r>
              <w:rPr>
                <w:color w:val="0F2035"/>
                <w:sz w:val="15"/>
              </w:rPr>
              <w:t>LangSmith HTTP failure</w:t>
            </w:r>
          </w:p>
        </w:tc>
        <w:tc>
          <w:tcPr>
            <w:tcW w:type="dxa" w:w="4550"/>
            <w:vAlign w:val="center"/>
          </w:tcPr>
          <w:p>
            <w:pPr>
              <w:spacing w:after="20"/>
            </w:pPr>
            <w:r>
              <w:rPr>
                <w:color w:val="0F2035"/>
                <w:sz w:val="15"/>
              </w:rPr>
              <w:t>Nonblocking: original researcher review proceeds; failure visible in n8n execution.</w:t>
            </w:r>
          </w:p>
        </w:tc>
      </w:tr>
    </w:tbl>
    <w:p>
      <w:pPr>
        <w:spacing w:after="0"/>
      </w:pPr>
    </w:p>
    <w:p>
      <w:pPr>
        <w:spacing w:after="100"/>
      </w:pPr>
      <w:r>
        <w:rPr>
          <w:color w:val="5D6875"/>
          <w:sz w:val="16"/>
        </w:rPr>
        <w:t>Monitoring evidence so far: soft alert fired on transcription/schema mismatch (HCBA1C vs HbA1c); manual correction and XLSX delivered; judge average 4.6/5; LangSmith returned “Run created”. No quantified baseline time, 2-person calibration, or full trace coverage claimed.</w:t>
      </w:r>
    </w:p>
    <w:sectPr w:rsidR="00FC693F" w:rsidRPr="0006063C" w:rsidSect="00034616">
      <w:headerReference w:type="default" r:id="rId9"/>
      <w:footerReference w:type="default" r:id="rId10"/>
      <w:pgSz w:w="12240" w:h="15840"/>
      <w:pgMar w:top="950" w:right="1051" w:bottom="850" w:left="1051" w:header="403"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D6875"/>
        <w:sz w:val="14"/>
      </w:rPr>
      <w:t>Working submission draft  •  Synthetic-data prototype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b/>
        <w:color w:val="097782"/>
        <w:sz w:val="14"/>
      </w:rPr>
      <w:t>RESEARCHVOICE AI   /   DEPI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0F20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0F2035"/>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97782"/>
      <w:sz w:val="2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97782"/>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0F203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