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Observed Synthetic Demo — Evidence Annex</w:t>
      </w:r>
    </w:p>
    <w:p>
      <w:pPr>
        <w:pStyle w:val="Subtitle"/>
      </w:pPr>
      <w:r>
        <w:rPr>
          <w:color w:val="087E83"/>
          <w:sz w:val="18"/>
        </w:rPr>
        <w:t>Actual screenshot exhibits + interpretation; a single demonstration is not a representative benchmark</w:t>
      </w:r>
    </w:p>
    <w:p>
      <w:pPr>
        <w:pStyle w:val="Heading2"/>
      </w:pPr>
      <w:r>
        <w:t>One documented complicated research-data visit</w:t>
      </w:r>
    </w:p>
    <w:p>
      <w:r>
        <w:t>Scenario: fictional Diabetes research study with Age and HbA1c schema. Voice transcription produced a nonmatching HbA1c-like variable label. The draft left HbA1c undocumented; the system produced a soft alert; the researcher manually corrected HbA1c to 7.2 percent and approved export. Judge ratings describe the original model draft BEFORE human correction.</w:t>
      </w:r>
    </w:p>
    <w:p>
      <w:pPr>
        <w:pStyle w:val="Heading2"/>
      </w:pPr>
      <w:r>
        <w:t>Voice transcript review</w:t>
      </w:r>
    </w:p>
    <w:p>
      <w:r>
        <w:drawing>
          <wp:inline xmlns:a="http://schemas.openxmlformats.org/drawingml/2006/main" xmlns:pic="http://schemas.openxmlformats.org/drawingml/2006/picture">
            <wp:extent cx="3108960" cy="2658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02_Voice_Transcrip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658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Shows researcher confirmation of transcribed synthetic case data.</w:t>
      </w:r>
    </w:p>
    <w:p>
      <w:pPr>
        <w:pStyle w:val="Heading2"/>
      </w:pPr>
      <w:r>
        <w:t>Soft alert / mismatched field</w:t>
      </w:r>
    </w:p>
    <w:p>
      <w:r>
        <w:drawing>
          <wp:inline xmlns:a="http://schemas.openxmlformats.org/drawingml/2006/main" xmlns:pic="http://schemas.openxmlformats.org/drawingml/2006/picture">
            <wp:extent cx="3108960" cy="38368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03_Soft_Ale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83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Shows review requirement when approved schema variable is not matched.</w:t>
      </w:r>
    </w:p>
    <w:p>
      <w:pPr>
        <w:pStyle w:val="Heading2"/>
      </w:pPr>
      <w:r>
        <w:t>Correction and delivery</w:t>
      </w:r>
    </w:p>
    <w:p>
      <w:r>
        <w:drawing>
          <wp:inline xmlns:a="http://schemas.openxmlformats.org/drawingml/2006/main" xmlns:pic="http://schemas.openxmlformats.org/drawingml/2006/picture">
            <wp:extent cx="3108960" cy="66706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04_Corrected_Ex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670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Shows researcher correction, confirmation and approved XLSX delivery.</w:t>
      </w:r>
    </w:p>
    <w:p>
      <w:r>
        <w:br w:type="page"/>
      </w:r>
    </w:p>
    <w:p>
      <w:pPr>
        <w:pStyle w:val="Heading2"/>
      </w:pPr>
      <w:r>
        <w:t>Judge, monitoring and LangSmith results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t>Metric</w:t>
            </w:r>
          </w:p>
        </w:tc>
        <w:tc>
          <w:tcPr>
            <w:tcW w:type="dxa" w:w="4968"/>
            <w:vAlign w:val="center"/>
          </w:tcPr>
          <w:p>
            <w:r>
              <w:t>Observed output</w:t>
            </w:r>
          </w:p>
        </w:tc>
      </w:tr>
      <w:tr>
        <w:tc>
          <w:tcPr>
            <w:tcW w:type="dxa" w:w="4968"/>
            <w:vAlign w:val="center"/>
          </w:tcPr>
          <w:p>
            <w:r>
              <w:t>QA status</w:t>
            </w:r>
          </w:p>
        </w:tc>
        <w:tc>
          <w:tcPr>
            <w:tcW w:type="dxa" w:w="4968"/>
            <w:vAlign w:val="center"/>
          </w:tcPr>
          <w:p>
            <w:r>
              <w:t>Completed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Scores</w:t>
            </w:r>
          </w:p>
        </w:tc>
        <w:tc>
          <w:tcPr>
            <w:tcW w:type="dxa" w:w="4968"/>
            <w:vAlign w:val="center"/>
          </w:tcPr>
          <w:p>
            <w:r>
              <w:t>Factual 5; grounded 5; safety 5; format 3; bias 5</w:t>
            </w:r>
          </w:p>
        </w:tc>
      </w:tr>
      <w:tr>
        <w:tc>
          <w:tcPr>
            <w:tcW w:type="dxa" w:w="4968"/>
            <w:vAlign w:val="center"/>
          </w:tcPr>
          <w:p>
            <w:r>
              <w:t>Judge mean</w:t>
            </w:r>
          </w:p>
        </w:tc>
        <w:tc>
          <w:tcPr>
            <w:tcW w:type="dxa" w:w="4968"/>
            <w:vAlign w:val="center"/>
          </w:tcPr>
          <w:p>
            <w:r>
              <w:t>4.6/5 · needs review</w:t>
            </w:r>
          </w:p>
        </w:tc>
      </w:tr>
      <w:tr>
        <w:tc>
          <w:tcPr>
            <w:tcW w:type="dxa" w:w="4968"/>
            <w:vAlign w:val="center"/>
          </w:tcPr>
          <w:p>
            <w:r>
              <w:t>Soft alert</w:t>
            </w:r>
          </w:p>
        </w:tc>
        <w:tc>
          <w:tcPr>
            <w:tcW w:type="dxa" w:w="4968"/>
            <w:vAlign w:val="center"/>
          </w:tcPr>
          <w:p>
            <w:r>
              <w:t>unresolved_extraction_issues · alert_required true</w:t>
            </w:r>
          </w:p>
        </w:tc>
      </w:tr>
      <w:tr>
        <w:tc>
          <w:tcPr>
            <w:tcW w:type="dxa" w:w="4968"/>
            <w:vAlign w:val="center"/>
          </w:tcPr>
          <w:p>
            <w:r>
              <w:t>Judge duration</w:t>
            </w:r>
          </w:p>
        </w:tc>
        <w:tc>
          <w:tcPr>
            <w:tcW w:type="dxa" w:w="4968"/>
            <w:vAlign w:val="center"/>
          </w:tcPr>
          <w:p>
            <w:r>
              <w:t>10,490 ms</w:t>
            </w:r>
          </w:p>
        </w:tc>
      </w:tr>
      <w:tr>
        <w:tc>
          <w:tcPr>
            <w:tcW w:type="dxa" w:w="4968"/>
            <w:vAlign w:val="center"/>
          </w:tcPr>
          <w:p>
            <w:r>
              <w:t>Rolling /monitor</w:t>
            </w:r>
          </w:p>
        </w:tc>
        <w:tc>
          <w:tcPr>
            <w:tcW w:type="dxa" w:w="4968"/>
            <w:vAlign w:val="center"/>
          </w:tcPr>
          <w:p>
            <w:r>
              <w:t>1 judge completed, 0 failed, 1 soft warning, 0 hard holds, 1 confirmed Excel delivery</w:t>
            </w:r>
          </w:p>
        </w:tc>
      </w:tr>
      <w:tr>
        <w:tc>
          <w:tcPr>
            <w:tcW w:type="dxa" w:w="4968"/>
            <w:vAlign w:val="center"/>
          </w:tcPr>
          <w:p>
            <w:r>
              <w:t>LangSmith</w:t>
            </w:r>
          </w:p>
        </w:tc>
        <w:tc>
          <w:tcPr>
            <w:tcW w:type="dxa" w:w="4968"/>
            <w:vAlign w:val="center"/>
          </w:tcPr>
          <w:p>
            <w:r>
              <w:t>Run created; trace visible in LangSmith project</w:t>
            </w:r>
          </w:p>
        </w:tc>
      </w:tr>
    </w:tbl>
    <w:p>
      <w:pPr>
        <w:pStyle w:val="Heading2"/>
      </w:pPr>
      <w:r>
        <w:t>QA scores and monitoring</w:t>
      </w:r>
    </w:p>
    <w:p>
      <w:r>
        <w:drawing>
          <wp:inline xmlns:a="http://schemas.openxmlformats.org/drawingml/2006/main" xmlns:pic="http://schemas.openxmlformats.org/drawingml/2006/picture">
            <wp:extent cx="3108960" cy="53023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05_Eval_Moni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5302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LangSmith trace evidence</w:t>
      </w:r>
    </w:p>
    <w:p>
      <w:r>
        <w:drawing>
          <wp:inline xmlns:a="http://schemas.openxmlformats.org/drawingml/2006/main" xmlns:pic="http://schemas.openxmlformats.org/drawingml/2006/picture">
            <wp:extent cx="6126480" cy="23085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07_LangSmith_Ru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08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Evidence limitation: current QA trace is a checkpoint, not a full step-by-step capture of every input, model call, and output. Safety checks are best-effort; synthetic data only. The human reviewers have not yet calibrated these scores.</w:t>
      </w:r>
    </w:p>
    <w:sectPr w:rsidR="00FC693F" w:rsidRPr="0006063C" w:rsidSect="00034616">
      <w:footerReference w:type="default" r:id="rId9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D5D69"/>
        <w:sz w:val="15"/>
      </w:rPr>
      <w:t>ResearchVoice AI · DEPI · Draft evidence pack · 27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53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253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253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