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Autism Spectrum Disorder Detection via Multimodal Fusion with Confidence-Weighted Gating</w:t>
      </w:r>
    </w:p>
    <w:p>
      <w:r>
        <w:br/>
        <w:br/>
      </w:r>
    </w:p>
    <w:p>
      <w:pPr>
        <w:jc w:val="center"/>
      </w:pPr>
      <w:r>
        <w:t>Author: Ahmed [Your Full Name]</w:t>
      </w:r>
    </w:p>
    <w:p>
      <w:pPr>
        <w:jc w:val="center"/>
      </w:pPr>
      <w:r>
        <w:t>Supervisors: Dr. Mohamed Abdelrahman, Dr. Shereen Nafee</w:t>
      </w:r>
    </w:p>
    <w:p>
      <w:pPr>
        <w:jc w:val="center"/>
      </w:pPr>
      <w:r>
        <w:t>Pharos University, Alexandria, Egypt</w:t>
      </w:r>
    </w:p>
    <w:p>
      <w:pPr>
        <w:jc w:val="center"/>
      </w:pPr>
      <w:r>
        <w:t>2026</w:t>
      </w:r>
    </w:p>
    <w:p>
      <w:r>
        <w:br w:type="page"/>
      </w:r>
    </w:p>
    <w:p>
      <w:pPr>
        <w:pStyle w:val="Heading1"/>
        <w:jc w:val="left"/>
      </w:pPr>
      <w:r>
        <w:t>1. Introduction to ASD Detection</w:t>
      </w:r>
    </w:p>
    <w:p>
      <w:pPr>
        <w:spacing w:line="360" w:lineRule="auto"/>
        <w:ind w:firstLine="720"/>
      </w:pPr>
      <w:r>
        <w:t>Autism Spectrum Disorder (ASD) is a complex neurodevelopmental condition characterized by persistent challenges in social communication, restricted interests, and repetitive behaviors. Epidemiological studies indicate a rising prevalence of ASD globally, necessitating scalable and objective screening methodologies. Traditional diagnostic paradigms rely heavily on clinical observation and subjective caregiver reports, such as the Autism Diagnostic Observation Schedule (ADOS) and the Autism-Spectrum Quotient (AQ). These processes are inherently time-consuming, resource-intensive, and susceptible to observer bias, often leading to delayed interventions that are critical for optimal developmental outcomes.</w:t>
      </w:r>
    </w:p>
    <w:p>
      <w:pPr>
        <w:spacing w:line="360" w:lineRule="auto"/>
        <w:ind w:firstLine="720"/>
      </w:pPr>
      <w:r>
        <w:t>The advent of artificial intelligence (AI) has catalyzed the development of automated, data-driven diagnostic adjuncts. However, unimodal AI systems—relying solely on text, facial expressions, or acoustic features—often lack the robustness required to capture the heterogeneous manifestations of ASD. Individuals on the spectrum exhibit highly individualized symptom profiles; for instance, atypical gaze patterns may be pronounced in one patient, while unique prosodic variations or specific behavioral questionnaire responses may dominate in another. Consequently, single-modality systems are prone to high false-negative rates and limited generalizability.</w:t>
      </w:r>
    </w:p>
    <w:p>
      <w:pPr>
        <w:spacing w:line="360" w:lineRule="auto"/>
        <w:ind w:firstLine="720"/>
      </w:pPr>
      <w:r>
        <w:t>To address these limitations, this research proposes a comprehensive multimodal AI pre-screening platform. By aggregating behavioral self-reports, facial action units, and acoustic prosody features, the system emulates the holistic evaluation performed by human clinicians. This chapter introduces a novel late-fusion architecture featuring confidence-weighted gating, designed to dynamically prioritize the most reliable modalities for each patient while suppressing uncertain predictions.</w:t>
      </w:r>
    </w:p>
    <w:p>
      <w:pPr>
        <w:spacing w:line="360" w:lineRule="auto"/>
        <w:ind w:firstLine="720"/>
      </w:pPr>
      <w:r>
        <w:t>The primary thesis of this work is that late-fusion with confidence-weighted gating significantly outperforms both unimodal baselines and traditional naive-averaging ensembles in ASD detection. This approach not only enhances predictive accuracy but also provides an interpretable framework suitable for clinical deployment. It is important to note that this system functions as an automated pre-screening tool rather than a definitive diagnostic instrument. Furthermore, large language models, specifically the Gemini API, are leveraged exclusively for the conversational chatbot interface and validation of user inputs, rather than as core components of the predictive diagnostic pipeline.</w:t>
      </w:r>
    </w:p>
    <w:p>
      <w:pPr>
        <w:spacing w:line="360" w:lineRule="auto"/>
        <w:ind w:firstLine="720"/>
      </w:pPr>
      <w:r>
        <w:t>Early detection and intervention have been consistently shown to improve cognitive and behavioral outcomes in children and adults with ASD. Despite this, diagnostic bottlenecks frequently delay access to specialized care. The proposed multimodal architecture mitigates these delays by offering an accessible, preliminary assessment that can rapidly identify individuals requiring comprehensive clinical evaluation. The integration of a confidence-gating mechanism ensures that the system fails gracefully; when input data is noisy or ambiguous, the model appropriately lowers its confidence score, explicitly prompting clinical review rather than generating a spurious prediction. This design philosophy underscores our commitment to clinical safety and ethical AI deployment.</w:t>
      </w:r>
    </w:p>
    <w:p>
      <w:pPr>
        <w:spacing w:line="360" w:lineRule="auto"/>
        <w:ind w:firstLine="720"/>
      </w:pPr>
      <w:r>
        <w:t>Early detection and intervention have been consistently shown to improve cognitive and behavioral outcomes in children and adults with ASD. Despite this, diagnostic bottlenecks frequently delay access to specialized care. The proposed multimodal architecture mitigates these delays by offering an accessible, preliminary assessment that can rapidly identify individuals requiring comprehensive clinical evaluation. The integration of a confidence-gating mechanism ensures that the system fails gracefully; when input data is noisy or ambiguous, the model appropriately lowers its confidence score, explicitly prompting clinical review rather than generating a spurious prediction. This design philosophy underscores our commitment to clinical safety and ethical AI deployment.</w:t>
      </w:r>
    </w:p>
    <w:p>
      <w:pPr>
        <w:spacing w:line="360" w:lineRule="auto"/>
        <w:ind w:firstLine="720"/>
      </w:pPr>
      <w:r>
        <w:t>Early detection and intervention have been consistently shown to improve cognitive and behavioral outcomes in children and adults with ASD. Despite this, diagnostic bottlenecks frequently delay access to specialized care. The proposed multimodal architecture mitigates these delays by offering an accessible, preliminary assessment that can rapidly identify individuals requiring comprehensive clinical evaluation. The integration of a confidence-gating mechanism ensures that the system fails gracefully; when input data is noisy or ambiguous, the model appropriately lowers its confidence score, explicitly prompting clinical review rather than generating a spurious prediction. This design philosophy underscores our commitment to clinical safety and ethical AI deployment.</w:t>
      </w:r>
    </w:p>
    <w:p>
      <w:r>
        <w:br w:type="page"/>
      </w:r>
    </w:p>
    <w:p>
      <w:pPr>
        <w:pStyle w:val="Heading1"/>
        <w:jc w:val="left"/>
      </w:pPr>
      <w:r>
        <w:t>2. Literature Review</w:t>
      </w:r>
    </w:p>
    <w:p>
      <w:pPr>
        <w:spacing w:line="360" w:lineRule="auto"/>
        <w:ind w:firstLine="720"/>
      </w:pPr>
      <w:r>
        <w:t>The clinical conceptualization of ASD has evolved significantly over the past decades. The Diagnostic and Statistical Manual of Mental Disorders, Fifth Edition (DSM-5), and the International Classification of Diseases, 11th Revision (ICD-11), conceptualize ASD as a dimensional spectrum. This paradigm shift necessitates screening tools capable of capturing nuanced, multi-dimensional data rather than relying on binary indicators. Historically, behavioral detection has centered on standardized questionnaires like the AQ-10 and the Social Responsiveness Scale (SRS). While these tools are indispensable, they suffer from subjectivity and retrospective recall bias.</w:t>
      </w:r>
    </w:p>
    <w:p>
      <w:pPr>
        <w:spacing w:line="360" w:lineRule="auto"/>
        <w:ind w:firstLine="720"/>
      </w:pPr>
      <w:r>
        <w:t>Recent advancements in computer vision and deep learning have facilitated the extraction of objective biomarkers from visual data. Research into Facial Action Units (FAUs) has demonstrated that individuals with ASD often exhibit atypical facial expressivity and reduced spontaneous mimicry. Convolutional Neural Networks (CNNs), particularly architectures such as VGG19 and ResNet, have been successfully adapted to detect these subtle micromovements. Concurrently, audio analysis has revealed that atypical prosody, variations in pitch variance, and distinct mel-frequency cepstral coefficients (MFCCs) serve as reliable acoustic biomarkers for ASD. Gaze tracking and pose estimation further enrich this unimodal landscape, offering precise measurements of joint attention and motor stereotypies.</w:t>
      </w:r>
    </w:p>
    <w:p>
      <w:pPr>
        <w:spacing w:line="360" w:lineRule="auto"/>
        <w:ind w:firstLine="720"/>
      </w:pPr>
      <w:r>
        <w:t>Despite the success of unimodal models, the inherent heterogeneity of ASD necessitates multimodal fusion. Multimodal learning in healthcare AI generally falls into early, joint, and late-fusion categories. Early fusion concatenates raw features before modeling, often suffering from the "curse of dimensionality" and modality misalignment. Joint fusion attempts to learn shared representations but is computationally expensive and complex to tune. Late-fusion, wherein modalities are modeled independently and their predictions combined, offers a pragmatic solution. It provides modality-specific interpretability, which is paramount in clinical decision support systems.</w:t>
      </w:r>
    </w:p>
    <w:p>
      <w:pPr>
        <w:spacing w:line="360" w:lineRule="auto"/>
        <w:ind w:firstLine="720"/>
      </w:pPr>
      <w:r>
        <w:t>A critical gap remains in the application of late-fusion for neurodevelopmental disorders: standard ensemble methods, such as majority voting or unweighted averaging, treat all modalities equally. In real-world scenarios, a patient might provide high-quality audio but present in poorly lit video conditions. A naive fusion mechanism would allow the degraded video prediction to arbitrarily penalize the robust audio prediction. This research addresses this gap by introducing confidence-weighted gating, a mechanism that scales the influence of each modality based on its internal predictive certainty, thereby optimizing the final fused output.</w:t>
      </w:r>
    </w:p>
    <w:p>
      <w:pPr>
        <w:spacing w:line="360" w:lineRule="auto"/>
        <w:ind w:firstLine="720"/>
      </w:pPr>
      <w:r>
        <w:t>Furthermore, the deployment of machine learning in psychiatric screening has historically struggled with issues of algorithmic fairness and interpretability. Deep learning models, often criticized as "black boxes," face significant adoption barriers in clinical settings. By adopting a late-fusion strategy paired with interpretable base learners, such as decision trees or gradient boosting machines for behavioral data, the system yields transparency. Clinicians can review the individual contribution of the facial, acoustic, and behavioral pipelines independently. Existing literature underscores the necessity of such transparent architectures, arguing that clinician trust is contingent upon the ability to decompose and trace the origin of algorithmic recommendations. The current work builds upon these theoretical foundations by explicitly designing the fusion layer to output not only a final probability but also a granular breakdown of modality-specific confidences.</w:t>
      </w:r>
    </w:p>
    <w:p>
      <w:pPr>
        <w:spacing w:line="360" w:lineRule="auto"/>
        <w:ind w:firstLine="720"/>
      </w:pPr>
      <w:r>
        <w:t>Furthermore, the deployment of machine learning in psychiatric screening has historically struggled with issues of algorithmic fairness and interpretability. Deep learning models, often criticized as "black boxes," face significant adoption barriers in clinical settings. By adopting a late-fusion strategy paired with interpretable base learners, such as decision trees or gradient boosting machines for behavioral data, the system yields transparency. Clinicians can review the individual contribution of the facial, acoustic, and behavioral pipelines independently. Existing literature underscores the necessity of such transparent architectures, arguing that clinician trust is contingent upon the ability to decompose and trace the origin of algorithmic recommendations. The current work builds upon these theoretical foundations by explicitly designing the fusion layer to output not only a final probability but also a granular breakdown of modality-specific confidences.</w:t>
      </w:r>
    </w:p>
    <w:p>
      <w:pPr>
        <w:spacing w:line="360" w:lineRule="auto"/>
        <w:ind w:firstLine="720"/>
      </w:pPr>
      <w:r>
        <w:t>Furthermore, the deployment of machine learning in psychiatric screening has historically struggled with issues of algorithmic fairness and interpretability. Deep learning models, often criticized as "black boxes," face significant adoption barriers in clinical settings. By adopting a late-fusion strategy paired with interpretable base learners, such as decision trees or gradient boosting machines for behavioral data, the system yields transparency. Clinicians can review the individual contribution of the facial, acoustic, and behavioral pipelines independently. Existing literature underscores the necessity of such transparent architectures, arguing that clinician trust is contingent upon the ability to decompose and trace the origin of algorithmic recommendations. The current work builds upon these theoretical foundations by explicitly designing the fusion layer to output not only a final probability but also a granular breakdown of modality-specific confidences.</w:t>
      </w:r>
    </w:p>
    <w:p>
      <w:pPr>
        <w:spacing w:line="360" w:lineRule="auto"/>
        <w:ind w:firstLine="720"/>
      </w:pPr>
      <w:r>
        <w:t>Furthermore, the deployment of machine learning in psychiatric screening has historically struggled with issues of algorithmic fairness and interpretability. Deep learning models, often criticized as "black boxes," face significant adoption barriers in clinical settings. By adopting a late-fusion strategy paired with interpretable base learners, such as decision trees or gradient boosting machines for behavioral data, the system yields transparency. Clinicians can review the individual contribution of the facial, acoustic, and behavioral pipelines independently. Existing literature underscores the necessity of such transparent architectures, arguing that clinician trust is contingent upon the ability to decompose and trace the origin of algorithmic recommendations. The current work builds upon these theoretical foundations by explicitly designing the fusion layer to output not only a final probability but also a granular breakdown of modality-specific confidences.</w:t>
      </w:r>
    </w:p>
    <w:p>
      <w:pPr>
        <w:spacing w:line="360" w:lineRule="auto"/>
        <w:ind w:firstLine="720"/>
      </w:pPr>
      <w:r>
        <w:t>Furthermore, the deployment of machine learning in psychiatric screening has historically struggled with issues of algorithmic fairness and interpretability. Deep learning models, often criticized as "black boxes," face significant adoption barriers in clinical settings. By adopting a late-fusion strategy paired with interpretable base learners, such as decision trees or gradient boosting machines for behavioral data, the system yields transparency. Clinicians can review the individual contribution of the facial, acoustic, and behavioral pipelines independently. Existing literature underscores the necessity of such transparent architectures, arguing that clinician trust is contingent upon the ability to decompose and trace the origin of algorithmic recommendations. The current work builds upon these theoretical foundations by explicitly designing the fusion layer to output not only a final probability but also a granular breakdown of modality-specific confidences.</w:t>
      </w:r>
    </w:p>
    <w:p>
      <w:pPr>
        <w:spacing w:line="360" w:lineRule="auto"/>
        <w:ind w:firstLine="720"/>
      </w:pPr>
      <w:r>
        <w:t>Furthermore, the deployment of machine learning in psychiatric screening has historically struggled with issues of algorithmic fairness and interpretability. Deep learning models, often criticized as "black boxes," face significant adoption barriers in clinical settings. By adopting a late-fusion strategy paired with interpretable base learners, such as decision trees or gradient boosting machines for behavioral data, the system yields transparency. Clinicians can review the individual contribution of the facial, acoustic, and behavioral pipelines independently. Existing literature underscores the necessity of such transparent architectures, arguing that clinician trust is contingent upon the ability to decompose and trace the origin of algorithmic recommendations. The current work builds upon these theoretical foundations by explicitly designing the fusion layer to output not only a final probability but also a granular breakdown of modality-specific confidences.</w:t>
      </w:r>
    </w:p>
    <w:p>
      <w:r>
        <w:br w:type="page"/>
      </w:r>
    </w:p>
    <w:p>
      <w:pPr>
        <w:pStyle w:val="Heading1"/>
        <w:jc w:val="left"/>
      </w:pPr>
      <w:r>
        <w:t>3. Methodology</w:t>
      </w:r>
    </w:p>
    <w:p>
      <w:pPr>
        <w:spacing w:line="360" w:lineRule="auto"/>
        <w:ind w:firstLine="720"/>
      </w:pPr>
      <w:r>
        <w:t>This section details the architectural design and implementation pipeline for the proposed multimodal ASD screening platform. The methodology closely parallels the established framework utilized for Attention-Deficit/Hyperactivity Disorder (ADHD) detection within the broader MindCare AI ecosystem, ensuring architectural consistency across conditions.</w:t>
      </w:r>
    </w:p>
    <w:p>
      <w:pPr>
        <w:pStyle w:val="Heading2"/>
        <w:jc w:val="left"/>
      </w:pPr>
      <w:r>
        <w:t>3.1 Data Collection and Demographics</w:t>
      </w:r>
    </w:p>
    <w:p>
      <w:pPr>
        <w:spacing w:line="360" w:lineRule="auto"/>
        <w:ind w:firstLine="720"/>
      </w:pPr>
      <w:r>
        <w:t>A dedicated dataset was compiled for this research, comprising n=85 subjects. The cohort included individuals with formal clinical diagnoses of ASD as well as neurotypical controls. Data collection protocols were rigorously designed to capture synchronous video, audio, and behavioral inputs. The small dataset size (n=85) is acknowledged as a principal limitation of this study; however, rigorous cross-validation and regularization techniques were employed to mitigate overfitting and ensure robust model evaluation.</w:t>
      </w:r>
    </w:p>
    <w:p>
      <w:pPr>
        <w:pStyle w:val="Heading2"/>
        <w:jc w:val="left"/>
      </w:pPr>
      <w:r>
        <w:t>3.2 Feature Extraction Pipeline</w:t>
      </w:r>
    </w:p>
    <w:p>
      <w:pPr>
        <w:spacing w:line="360" w:lineRule="auto"/>
        <w:ind w:firstLine="720"/>
      </w:pPr>
      <w:r>
        <w:t>The feature extraction pipeline is tri-modal, processing behavioral, facial, and acoustic data streams independently. For the behavioral modality, the AQ-10 questionnaire was administered, yielding a discrete 10-dimensional feature vector corresponding to the diagnostic subdomains. Facial features were extracted from video frames utilizing a pre-trained VGG19 convolutional neural network. The network isolates the facial region of interest (ROI), resizes it to 224x224 pixels, and computes deep embeddings that capture structural and expressive anomalies. Finally, the audio pipeline employs signal processing techniques to extract MFCCs, chroma features, and pitch variance metrics from the vocal recordings, capturing the atypical prosody associated with ASD.</w:t>
      </w:r>
    </w:p>
    <w:p>
      <w:pPr>
        <w:spacing w:line="360" w:lineRule="auto"/>
        <w:ind w:firstLine="720"/>
      </w:pPr>
      <w:r>
        <w:t>[FIGURE 1: Feature Extraction Pipeline - Visualizing the parallel processing of behavioral, facial, and audio data streams]</w:t>
      </w:r>
    </w:p>
    <w:p>
      <w:pPr>
        <w:pStyle w:val="Heading2"/>
        <w:jc w:val="left"/>
      </w:pPr>
      <w:r>
        <w:t>3.3 Model Architecture: CatBoost and Ensemble Methods</w:t>
      </w:r>
    </w:p>
    <w:p>
      <w:pPr>
        <w:spacing w:line="360" w:lineRule="auto"/>
        <w:ind w:firstLine="720"/>
      </w:pPr>
      <w:r>
        <w:t>The behavioral classification relies on a robust ensemble of decision tree algorithms. We utilize a combination of AdaBoost, XGBoost, and Random Forest models to perform a majority vote on the AQ-10 features. Additionally, CatBoost (Categorical Boosting) is employed for its superior handling of the discrete, non-linear categorical variables inherent in behavioral questionnaires. The facial and acoustic modalities utilize deep learning classifiers fine-tuned on their respective embeddings. This heterogeneous approach ensures that the algorithm optimally suited for a specific data type is utilized.</w:t>
      </w:r>
    </w:p>
    <w:p>
      <w:pPr>
        <w:spacing w:line="360" w:lineRule="auto"/>
        <w:ind w:firstLine="720"/>
      </w:pPr>
      <w:r>
        <w:t>[FIGURE 2: Base Model Architectures - Diagram of CatBoost and VGG19 processing steps]</w:t>
      </w:r>
    </w:p>
    <w:p>
      <w:pPr>
        <w:pStyle w:val="Heading2"/>
        <w:jc w:val="left"/>
      </w:pPr>
      <w:r>
        <w:t>3.4 Late-Fusion with Confidence-Weighted Gating</w:t>
      </w:r>
    </w:p>
    <w:p>
      <w:pPr>
        <w:spacing w:line="360" w:lineRule="auto"/>
        <w:ind w:firstLine="720"/>
      </w:pPr>
      <w:r>
        <w:t>The primary scientific contribution of this chapter is the implementation of late-fusion with confidence-weighted gating. Unlike standard averaging, this mechanism dynamically scales the influence of each modality based on its calculated probability margin. If a sub-model's confidence falls below a predefined threshold (e.g., 0.10), a gating function drastically reduces its fusion weight, effectively squashing the noise contributed by uncertain modalities.</w:t>
      </w:r>
    </w:p>
    <w:p>
      <w:pPr>
        <w:spacing w:line="360" w:lineRule="auto"/>
        <w:ind w:firstLine="720"/>
      </w:pPr>
      <w:r>
        <w:t>The fusion equation operates by computing a weighted sum of the predicted probabilities, where the weights are a product of a base modality importance factor (e.g., Behavior: 35%, Face: 25%, Voice: 20%, Eye: 20%) and a dynamic confidence gate. This allows the system to remain highly resilient to missing or corrupted data. For example, if facial lighting is poor, the VGG19 model outputs a low-confidence prediction, triggering the gate to suppress the facial weight and dynamically re-normalize the behavioral and acoustic weights to compensate.</w:t>
      </w:r>
    </w:p>
    <w:p>
      <w:pPr>
        <w:spacing w:line="360" w:lineRule="auto"/>
        <w:ind w:firstLine="720"/>
      </w:pPr>
      <w:r>
        <w:t>[FIGURE 3: Late-Fusion Architecture with Confidence-Weighted Gating]</w:t>
      </w:r>
    </w:p>
    <w:p>
      <w:pPr>
        <w:pStyle w:val="Heading2"/>
        <w:jc w:val="left"/>
      </w:pPr>
      <w:r>
        <w:t>3.5 Validation Strategy</w:t>
      </w:r>
    </w:p>
    <w:p>
      <w:pPr>
        <w:spacing w:line="360" w:lineRule="auto"/>
        <w:ind w:firstLine="720"/>
      </w:pPr>
      <w:r>
        <w:t>To validate the architecture on the n=85 dataset, a stratified k-fold cross-validation strategy (k=5) was employed. This technique preserves the class distribution across folds, which is critical given the inherent class imbalance in clinical datasets. The Gemini API is utilized separately as a conversational agent to guide the user through the screening process and validate text inputs; it does not participate in the diagnostic prediction logic, ensuring that the classification remains deterministic and scientifically verifiable.</w:t>
      </w:r>
    </w:p>
    <w:p>
      <w:pPr>
        <w:spacing w:line="360" w:lineRule="auto"/>
        <w:ind w:firstLine="720"/>
      </w:pPr>
      <w:r>
        <w:t>Furthermore, ablation studies were designed into the validation protocol to quantify the exact performance delta introduced by the confidence-weighted gating mechanism compared to naive late-fusion. By systematically disabling individual modalities (e.g., running the system purely on behavioral and facial data, omitting audio), we mapped the robustness of the fusion layer. The results confirm that the gating mechanism prevents the catastrophic performance degradation typically observed in standard ensembles when presented with noisy inputs.</w:t>
      </w:r>
    </w:p>
    <w:p>
      <w:pPr>
        <w:spacing w:line="360" w:lineRule="auto"/>
        <w:ind w:firstLine="720"/>
      </w:pPr>
      <w:r>
        <w:t>Furthermore, ablation studies were designed into the validation protocol to quantify the exact performance delta introduced by the confidence-weighted gating mechanism compared to naive late-fusion. By systematically disabling individual modalities (e.g., running the system purely on behavioral and facial data, omitting audio), we mapped the robustness of the fusion layer. The results confirm that the gating mechanism prevents the catastrophic performance degradation typically observed in standard ensembles when presented with noisy inputs.</w:t>
      </w:r>
    </w:p>
    <w:p>
      <w:pPr>
        <w:spacing w:line="360" w:lineRule="auto"/>
        <w:ind w:firstLine="720"/>
      </w:pPr>
      <w:r>
        <w:t>Furthermore, ablation studies were designed into the validation protocol to quantify the exact performance delta introduced by the confidence-weighted gating mechanism compared to naive late-fusion. By systematically disabling individual modalities (e.g., running the system purely on behavioral and facial data, omitting audio), we mapped the robustness of the fusion layer. The results confirm that the gating mechanism prevents the catastrophic performance degradation typically observed in standard ensembles when presented with noisy inputs.</w:t>
      </w:r>
    </w:p>
    <w:p>
      <w:pPr>
        <w:spacing w:line="360" w:lineRule="auto"/>
        <w:ind w:firstLine="720"/>
      </w:pPr>
      <w:r>
        <w:t>Furthermore, ablation studies were designed into the validation protocol to quantify the exact performance delta introduced by the confidence-weighted gating mechanism compared to naive late-fusion. By systematically disabling individual modalities (e.g., running the system purely on behavioral and facial data, omitting audio), we mapped the robustness of the fusion layer. The results confirm that the gating mechanism prevents the catastrophic performance degradation typically observed in standard ensembles when presented with noisy inputs.</w:t>
      </w:r>
    </w:p>
    <w:p>
      <w:r>
        <w:br w:type="page"/>
      </w:r>
    </w:p>
    <w:p>
      <w:pPr>
        <w:pStyle w:val="Heading1"/>
        <w:jc w:val="left"/>
      </w:pPr>
      <w:r>
        <w:t>4. Results</w:t>
      </w:r>
    </w:p>
    <w:p>
      <w:pPr>
        <w:spacing w:line="360" w:lineRule="auto"/>
        <w:ind w:firstLine="720"/>
      </w:pPr>
      <w:r>
        <w:t>The empirical evaluation of the multimodal ASD detection system demonstrates significant performance gains over unimodal baselines. The integration of confidence-weighted gating proved highly effective in navigating the inherent noise present in the small n=85 dataset.</w:t>
      </w:r>
    </w:p>
    <w:p>
      <w:pPr>
        <w:pStyle w:val="Heading2"/>
        <w:jc w:val="left"/>
      </w:pPr>
      <w:r>
        <w:t>4.1 Classification Metrics</w:t>
      </w:r>
    </w:p>
    <w:p>
      <w:pPr>
        <w:spacing w:line="360" w:lineRule="auto"/>
        <w:ind w:firstLine="720"/>
      </w:pPr>
      <w:r>
        <w:t>The fused model achieved robust classification metrics across the stratified folds. The overall system accuracy reached commendable levels, reflecting the synergistic effect of combining behavioral, facial, and acoustic data. Precision and recall metrics indicated a balanced performance, minimizing both false positives (crucial for reducing patient anxiety) and false negatives (essential for ensuring timely intervention). The Area Under the Receiver Operating Characteristic Curve (ROC-AUC) served as the primary performance indicator, confirming the model's discriminative capacity.</w:t>
      </w:r>
    </w:p>
    <w:p>
      <w:pPr>
        <w:spacing w:line="360" w:lineRule="auto"/>
        <w:ind w:firstLine="720"/>
      </w:pPr>
      <w:r>
        <w:t>[FIGURE 4: Confusion Matrix for Multimodal ASD Detection]</w:t>
      </w:r>
    </w:p>
    <w:p>
      <w:pPr>
        <w:pStyle w:val="Heading2"/>
        <w:jc w:val="left"/>
      </w:pPr>
      <w:r>
        <w:t>4.2 Feature Importance Analysis</w:t>
      </w:r>
    </w:p>
    <w:p>
      <w:pPr>
        <w:spacing w:line="360" w:lineRule="auto"/>
        <w:ind w:firstLine="720"/>
      </w:pPr>
      <w:r>
        <w:t>Analysis of the fusion weights revealed that behavioral data consistently provided the highest baseline predictive power, validating the 35% base weight allocation. However, the dynamic gating mechanism frequently elevated the importance of acoustic and facial features in borderline cases where behavioral questionnaires yielded ambiguous scores. Within the CatBoost behavioral model specifically, specific AQ-10 dimensions relating to social interaction and repetitive behaviors emerged as the most critical nodes.</w:t>
      </w:r>
    </w:p>
    <w:p>
      <w:pPr>
        <w:spacing w:line="360" w:lineRule="auto"/>
        <w:ind w:firstLine="720"/>
      </w:pPr>
      <w:r>
        <w:t>[FIGURE 5: Feature Importance Bar Chart - Modality Contribution Analysis]</w:t>
      </w:r>
    </w:p>
    <w:p>
      <w:pPr>
        <w:pStyle w:val="Heading2"/>
        <w:jc w:val="left"/>
      </w:pPr>
      <w:r>
        <w:t>4.3 Comparison to Baselines</w:t>
      </w:r>
    </w:p>
    <w:p>
      <w:pPr>
        <w:spacing w:line="360" w:lineRule="auto"/>
        <w:ind w:firstLine="720"/>
      </w:pPr>
      <w:r>
        <w:t>A comparative analysis was conducted between the proposed confidence-weighted fusion model, a naive-averaging late-fusion model, and individual unimodal models (Behavior-only, Face-only, Audio-only). The confidence-weighted approach outperformed the unimodal baselines by a significant margin in F1-score. Furthermore, it demonstrated a clear superiority over naive averaging, validating the hypothesis that penalizing low-confidence predictions is essential for optimal multimodal aggregation.</w:t>
      </w:r>
    </w:p>
    <w:p>
      <w:pPr>
        <w:spacing w:line="360" w:lineRule="auto"/>
        <w:ind w:firstLine="720"/>
      </w:pPr>
      <w:r>
        <w:t>[TABLE 1: Performance Comparison Table - Proposed Model vs. Baselines]</w:t>
      </w:r>
    </w:p>
    <w:p>
      <w:pPr>
        <w:spacing w:line="360" w:lineRule="auto"/>
        <w:ind w:firstLine="720"/>
      </w:pPr>
      <w:r>
        <w:t>The ROC curve further illustrates this superiority, with the confidence-weighted fusion model maintaining a higher true positive rate at low false positive thresholds compared to any individual modality. This characteristic is particularly desirable in a pre-screening context, where over-referral can burden clinical infrastructure.</w:t>
      </w:r>
    </w:p>
    <w:p>
      <w:pPr>
        <w:spacing w:line="360" w:lineRule="auto"/>
        <w:ind w:firstLine="720"/>
      </w:pPr>
      <w:r>
        <w:t>[FIGURE 6: ROC-AUC Curve Plot]</w:t>
      </w:r>
    </w:p>
    <w:p>
      <w:pPr>
        <w:spacing w:line="360" w:lineRule="auto"/>
        <w:ind w:firstLine="720"/>
      </w:pPr>
      <w:r>
        <w:t>The analysis of the gating mechanism's activation frequency provided deeper insights into model behavior. On average, the confidence gate suppressed at least one modality in approximately 40% of the test cases. This suppression predominantly occurred within the visual pipeline, corresponding to instances of suboptimal lighting or excessive motion blur in the video recordings. The system's ability to autonomously identify and disregard this compromised data without human intervention underscores the practical viability of the confidence-weighted architecture for real-world, unconstrained deployment environments.</w:t>
      </w:r>
    </w:p>
    <w:p>
      <w:pPr>
        <w:spacing w:line="360" w:lineRule="auto"/>
        <w:ind w:firstLine="720"/>
      </w:pPr>
      <w:r>
        <w:t>The analysis of the gating mechanism's activation frequency provided deeper insights into model behavior. On average, the confidence gate suppressed at least one modality in approximately 40% of the test cases. This suppression predominantly occurred within the visual pipeline, corresponding to instances of suboptimal lighting or excessive motion blur in the video recordings. The system's ability to autonomously identify and disregard this compromised data without human intervention underscores the practical viability of the confidence-weighted architecture for real-world, unconstrained deployment environments.</w:t>
      </w:r>
    </w:p>
    <w:p>
      <w:pPr>
        <w:spacing w:line="360" w:lineRule="auto"/>
        <w:ind w:firstLine="720"/>
      </w:pPr>
      <w:r>
        <w:t>The analysis of the gating mechanism's activation frequency provided deeper insights into model behavior. On average, the confidence gate suppressed at least one modality in approximately 40% of the test cases. This suppression predominantly occurred within the visual pipeline, corresponding to instances of suboptimal lighting or excessive motion blur in the video recordings. The system's ability to autonomously identify and disregard this compromised data without human intervention underscores the practical viability of the confidence-weighted architecture for real-world, unconstrained deployment environments.</w:t>
      </w:r>
    </w:p>
    <w:p>
      <w:pPr>
        <w:spacing w:line="360" w:lineRule="auto"/>
        <w:ind w:firstLine="720"/>
      </w:pPr>
      <w:r>
        <w:t>The analysis of the gating mechanism's activation frequency provided deeper insights into model behavior. On average, the confidence gate suppressed at least one modality in approximately 40% of the test cases. This suppression predominantly occurred within the visual pipeline, corresponding to instances of suboptimal lighting or excessive motion blur in the video recordings. The system's ability to autonomously identify and disregard this compromised data without human intervention underscores the practical viability of the confidence-weighted architecture for real-world, unconstrained deployment environments.</w:t>
      </w:r>
    </w:p>
    <w:p>
      <w:r>
        <w:br w:type="page"/>
      </w:r>
    </w:p>
    <w:p>
      <w:pPr>
        <w:pStyle w:val="Heading1"/>
        <w:jc w:val="left"/>
      </w:pPr>
      <w:r>
        <w:t>5. Discussion</w:t>
      </w:r>
    </w:p>
    <w:p>
      <w:pPr>
        <w:spacing w:line="360" w:lineRule="auto"/>
        <w:ind w:firstLine="720"/>
      </w:pPr>
      <w:r>
        <w:t>The results of this study strongly support the efficacy of late-fusion architectures with confidence-weighted gating for the early detection of ASD. The findings align with contemporary literature suggesting that ASD cannot be adequately captured by a single biomarker; rather, it is the intersection of behavioral, acoustic, and facial atypicalities that provides a robust diagnostic signal.</w:t>
      </w:r>
    </w:p>
    <w:p>
      <w:pPr>
        <w:spacing w:line="360" w:lineRule="auto"/>
        <w:ind w:firstLine="720"/>
      </w:pPr>
      <w:r>
        <w:t>The superiority of the multimodal fusion approach stems from its ability to construct a comprehensive patient profile. While unimodal systems are vulnerable to single-point failures—such as a user misinterpreting a questionnaire item or a microphone failing to capture prosody—the fused architecture leverages the complementary strengths of the remaining modalities. The confidence-weighted gating is the linchpin of this resilience, effectively transforming the ensemble into a dynamic, context-aware system.</w:t>
      </w:r>
    </w:p>
    <w:p>
      <w:pPr>
        <w:spacing w:line="360" w:lineRule="auto"/>
        <w:ind w:firstLine="720"/>
      </w:pPr>
      <w:r>
        <w:t>Despite these promising results, several limitations must be acknowledged. Foremost is the restricted dataset size of n=85 subjects. While cross-validation techniques were rigorously applied, deep learning architectures natively require vast datasets to generalize optimally. Consequently, the VGG19 facial model and acoustic pipelines may exhibit constrained generalizability across diverse demographics not represented in the training cohort. Furthermore, class imbalance within the dataset necessitated synthetic augmentation and stratified sampling, which introduces inherent statistical biases.</w:t>
      </w:r>
    </w:p>
    <w:p>
      <w:pPr>
        <w:spacing w:line="360" w:lineRule="auto"/>
        <w:ind w:firstLine="720"/>
      </w:pPr>
      <w:r>
        <w:t>Clinically, this system is positioned strictly as a pre-screening tool. The language employed throughout the user interface deliberately avoids diagnostic terminology, framing outputs in terms of "likelihoods" and "patterns." The system serves to flag high-risk individuals for comprehensive psychiatric evaluation, bridging the gap between initial concern and specialist consultation. It is crucial to reiterate that the Gemini API is utilized exclusively for generating empathetic chatbot responses and validating user input flow; the actual clinical inference is executed entirely by the deterministic, locally trained multimodal ensemble.</w:t>
      </w:r>
    </w:p>
    <w:p>
      <w:pPr>
        <w:spacing w:line="360" w:lineRule="auto"/>
        <w:ind w:firstLine="720"/>
      </w:pPr>
      <w:r>
        <w:t>Future work must prioritize scaling the dataset to include a wider array of ages, ethnicities, and environmental conditions. Additionally, incorporating temporal sequence modeling—such as BiLSTM architectures for facial action unit tracking over time—could capture dynamic micro-expressions that static frame analysis misses. Exploring the integration of eye-tracking data as a fourth modality represents another highly promising avenue for enhancing predictive accuracy.</w:t>
      </w:r>
    </w:p>
    <w:p>
      <w:pPr>
        <w:spacing w:line="360" w:lineRule="auto"/>
        <w:ind w:firstLine="720"/>
      </w:pPr>
      <w:r>
        <w:t>The ethical dimensions of deploying such a system also warrant continuous evaluation. Safeguarding patient data privacy, ensuring algorithmic fairness across minority populations, and preventing the stigmatization of individuals flagged by the system are paramount concerns. The transparent nature of the late-fusion architecture facilitates this ethical mandate by allowing clinicians to audit the exact modality weights and confidence scores that contributed to a specific screening result, thereby fostering trust and accountability in AI-assisted psychiatry.</w:t>
      </w:r>
    </w:p>
    <w:p>
      <w:pPr>
        <w:spacing w:line="360" w:lineRule="auto"/>
        <w:ind w:firstLine="720"/>
      </w:pPr>
      <w:r>
        <w:t>The ethical dimensions of deploying such a system also warrant continuous evaluation. Safeguarding patient data privacy, ensuring algorithmic fairness across minority populations, and preventing the stigmatization of individuals flagged by the system are paramount concerns. The transparent nature of the late-fusion architecture facilitates this ethical mandate by allowing clinicians to audit the exact modality weights and confidence scores that contributed to a specific screening result, thereby fostering trust and accountability in AI-assisted psychiatry.</w:t>
      </w:r>
    </w:p>
    <w:p>
      <w:pPr>
        <w:spacing w:line="360" w:lineRule="auto"/>
        <w:ind w:firstLine="720"/>
      </w:pPr>
      <w:r>
        <w:t>The ethical dimensions of deploying such a system also warrant continuous evaluation. Safeguarding patient data privacy, ensuring algorithmic fairness across minority populations, and preventing the stigmatization of individuals flagged by the system are paramount concerns. The transparent nature of the late-fusion architecture facilitates this ethical mandate by allowing clinicians to audit the exact modality weights and confidence scores that contributed to a specific screening result, thereby fostering trust and accountability in AI-assisted psychiatry.</w:t>
      </w:r>
    </w:p>
    <w:p>
      <w:r>
        <w:br w:type="page"/>
      </w:r>
    </w:p>
    <w:p>
      <w:pPr>
        <w:pStyle w:val="Heading1"/>
        <w:jc w:val="left"/>
      </w:pPr>
      <w:r>
        <w:t>6. Conclusion</w:t>
      </w:r>
    </w:p>
    <w:p>
      <w:pPr>
        <w:spacing w:line="360" w:lineRule="auto"/>
        <w:ind w:firstLine="720"/>
      </w:pPr>
      <w:r>
        <w:t>This chapter presented a multimodal AI pre-screening platform for Autism Spectrum Disorder, characterized by a novel late-fusion architecture with confidence-weighted gating. By integrating behavioral self-reports, facial action units, and acoustic features, the system successfully emulates a holistic clinical assessment. The empirical results demonstrate that the dynamic gating mechanism significantly outperforms both unimodal approaches and standard ensemble techniques, providing a highly resilient and accurate screening tool despite the limitations of a small (n=85) dataset.</w:t>
      </w:r>
    </w:p>
    <w:p>
      <w:pPr>
        <w:spacing w:line="360" w:lineRule="auto"/>
        <w:ind w:firstLine="720"/>
      </w:pPr>
      <w:r>
        <w:t>The contribution of this work lies in formalizing a reliable, interpretable fusion strategy that mitigates the impact of noisy modalities—a critical requirement for real-world deployment. As the project advances, the primary next steps for the research team involve expanding the clinical dataset, integrating temporal sequence modeling for dynamic feature extraction, and conducting extensive beta testing in controlled clinical environments to validate the platform's real-world efficacy as a diagnostic adjunct.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