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540"/>
        <w:jc w:val="center"/>
      </w:pPr>
      <w:r>
        <w:rPr>
          <w:rFonts w:ascii="Arial" w:cs="Arial" w:eastAsia="Arial" w:hAnsi="Arial"/>
          <w:b/>
          <w:bCs/>
          <w:color w:val="102A43"/>
          <w:sz w:val="28"/>
          <w:szCs w:val="28"/>
        </w:rPr>
        <w:t xml:space="preserve">UNIVERSIDAD DEL VALLE DE MÉXICO</w:t>
      </w:r>
    </w:p>
    <w:p>
      <w:pPr>
        <w:spacing w:after="320"/>
        <w:jc w:val="center"/>
      </w:pPr>
      <w:r>
        <w:rPr>
          <w:rFonts w:ascii="Arial" w:cs="Arial" w:eastAsia="Arial" w:hAnsi="Arial"/>
          <w:b/>
          <w:bCs/>
          <w:color w:val="1261A0"/>
          <w:sz w:val="22"/>
          <w:szCs w:val="22"/>
        </w:rPr>
        <w:t xml:space="preserve">CAMPUS EN LÍNEA</w:t>
      </w:r>
    </w:p>
    <w:p>
      <w:pPr>
        <w:spacing w:after="360"/>
        <w:jc w:val="center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SOLUCIONES DE PROGRAMACIÓN MÓVIL</w:t>
      </w:r>
    </w:p>
    <w:p>
      <w:pPr>
        <w:spacing w:after="140"/>
        <w:jc w:val="center"/>
      </w:pPr>
      <w:r>
        <w:rPr>
          <w:rFonts w:ascii="Arial" w:cs="Arial" w:eastAsia="Arial" w:hAnsi="Arial"/>
          <w:b/>
          <w:bCs/>
          <w:color w:val="1261A0"/>
          <w:sz w:val="28"/>
          <w:szCs w:val="28"/>
        </w:rPr>
        <w:t xml:space="preserve">PROYECTO INTEGRADOR · ETAPA 3</w:t>
      </w:r>
    </w:p>
    <w:p>
      <w:pPr>
        <w:spacing w:after="520"/>
        <w:jc w:val="center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Desarrollo de la aplicación web «SoporteYa»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22222"/>
          <w:sz w:val="22"/>
          <w:szCs w:val="22"/>
        </w:rPr>
        <w:t xml:space="preserve">Alumno: Arturo Vega Castillo</w:t>
      </w:r>
    </w:p>
    <w:p>
      <w:pPr>
        <w:spacing w:after="120"/>
        <w:jc w:val="center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Docente: Franklin Tapia Penagos</w:t>
      </w:r>
    </w:p>
    <w:p>
      <w:pPr>
        <w:spacing w:after="120"/>
        <w:jc w:val="center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Matrícula: 940029608</w:t>
      </w:r>
    </w:p>
    <w:p>
      <w:pPr>
        <w:spacing w:after="120"/>
        <w:jc w:val="center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Ciudad de México, 18 de agosto de 2026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Introducción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tercera etapa del Proyecto Integrador materializa los requisitos y prototipos de SoporteYa en una aplicación web funcional para gestionar solicitudes de soporte técnico. El producto implementa el ciclo completo de atención mediante operaciones de creación, consulta, actualización y eliminación lógica, con persistencia en una base de datos alojada en la nube.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implementación conserva los tres perfiles definidos previamente: el colaborador consulta sus propios tickets, el técnico atiende los expedientes asignados y el coordinador supervisa el conjunto del servicio. Cada operación se valida en el cliente y en el servidor, aplica permisos por rol y genera una entrada de historial para mantener trazabilidad.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El documento integra la descripción funcional, el proceso de implementación y las pruebas de seguridad. La evidencia procede del código ejecutable, de la suite automatizada y de la documentación técnica visible dentro de la propia interfaz.</w:t>
      </w:r>
    </w:p>
    <w:p>
      <w:pPr>
        <w:pStyle w:val="Heading1"/>
        <w:keepNext/>
        <w:spacing w:after="120" w:before="240" w:line="360" w:lineRule="auto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I. Integración de las Etapas 1 y 2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Etapa 1 identificó la dispersión de solicitudes y definió como objetivo centralizar su registro y seguimiento. La Etapa 2 tradujo los requisitos en interfaces, rutas, roles y una arquitectura por capas. La Etapa 3 conserva ese vocabulario y lo convierte en contratos de datos, políticas de autorización y componentes de interfaz verificables.</w:t>
      </w:r>
    </w:p>
    <w:tbl>
      <w:tblPr>
        <w:tblW w:type="pct" w:w="100%"/>
        <w:tblBorders>
          <w:top w:val="single" w:color="D7E2EA" w:sz="4"/>
          <w:left w:val="single" w:color="D7E2EA" w:sz="4"/>
          <w:bottom w:val="single" w:color="D7E2EA" w:sz="4"/>
          <w:right w:val="single" w:color="D7E2EA" w:sz="4"/>
          <w:insideH w:val="single" w:color="D7E2EA" w:sz="4"/>
          <w:insideV w:val="single" w:color="D7E2EA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Etapa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Aportación recuperada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Aplicación en el desarrollo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Etapa 1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Problema, usuarios, requisitos funcionales y restricciones.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Modelo de tickets, roles y criterios de acceso.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Etapa 2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Prototipos, navegación, estados y arquitectura conceptual.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Páginas responsivas, rutas, diseño visual y separación de responsabilidades.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Etapa 3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Código ejecutable, persistencia, pruebas y evidencia.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CRUD, historial, comentarios, indicadores, documentación y Word descargable.</w:t>
            </w:r>
          </w:p>
        </w:tc>
      </w:tr>
    </w:tbl>
    <w:p>
      <w:pPr>
        <w:pStyle w:val="Heading1"/>
        <w:keepNext/>
        <w:pageBreakBefore/>
        <w:spacing w:after="120" w:before="240" w:line="360" w:lineRule="auto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III. Desarrollo de la aplicación</w:t>
      </w:r>
    </w:p>
    <w:p>
      <w:pPr>
        <w:pStyle w:val="Heading2"/>
        <w:keepNext/>
        <w:spacing w:after="120" w:before="160" w:line="360" w:lineRule="auto"/>
      </w:pPr>
      <w:r>
        <w:rPr>
          <w:rFonts w:ascii="Arial" w:cs="Arial" w:eastAsia="Arial" w:hAnsi="Arial"/>
          <w:b/>
          <w:bCs/>
          <w:color w:val="1261A0"/>
          <w:sz w:val="22"/>
          <w:szCs w:val="22"/>
        </w:rPr>
        <w:t xml:space="preserve">3.1 Descripción de funcionalidad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SoporteYa administra un expediente único por incidencia. El formulario solicita título, categoría, prioridad, descripción y estado; antes de guardar, el navegador muestra errores específicos y el servidor repite la validación. Un folio se genera de forma automática y cada cambio queda relacionado con el usuario autenticado.</w:t>
      </w:r>
    </w:p>
    <w:tbl>
      <w:tblPr>
        <w:tblW w:type="pct" w:w="100%"/>
        <w:tblBorders>
          <w:top w:val="single" w:color="D7E2EA" w:sz="4"/>
          <w:left w:val="single" w:color="D7E2EA" w:sz="4"/>
          <w:bottom w:val="single" w:color="D7E2EA" w:sz="4"/>
          <w:right w:val="single" w:color="D7E2EA" w:sz="4"/>
          <w:insideH w:val="single" w:color="D7E2EA" w:sz="4"/>
          <w:insideV w:val="single" w:color="D7E2EA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Operación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Comportamiento implementado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Evidencia de trazabilidad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Agregar (Create)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Valida el formulario, crea el ticket y devuelve el folio.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Evento “Ticket creado” con actor y fecha.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Recuperar (Read)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Lista, filtra y abre únicamente expedientes permitidos por el rol.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Consultas con filtros de propietario o técnico asignado.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Actualizar (Update)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Modifica datos, asignación o estado conforme a permisos.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Valores anterior y nuevo en ticket_history.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Borrar (Delete)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Aplica eliminación lógica para conservar evidencia.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Fecha de baja y evento de eliminación en el historial.</w:t>
            </w:r>
          </w:p>
        </w:tc>
      </w:tr>
    </w:tbl>
    <w:p>
      <w:pPr>
        <w:spacing w:after="120"/>
      </w:pP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Los estados se controlan mediante un catálogo cerrado con los valores exactos Abierto, En atención, Resuelto y Cerrado. La vista de detalle incorpora comentarios, historial de cambios, actualización condicionada y eliminación según rol y estado.</w:t>
      </w:r>
    </w:p>
    <w:p>
      <w:pPr>
        <w:pStyle w:val="Heading2"/>
        <w:keepNext/>
        <w:spacing w:after="120" w:before="160" w:line="360" w:lineRule="auto"/>
      </w:pPr>
      <w:r>
        <w:rPr>
          <w:rFonts w:ascii="Arial" w:cs="Arial" w:eastAsia="Arial" w:hAnsi="Arial"/>
          <w:b/>
          <w:bCs/>
          <w:color w:val="1261A0"/>
          <w:sz w:val="22"/>
          <w:szCs w:val="22"/>
        </w:rPr>
        <w:t xml:space="preserve">Evidencias de funcionalidad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524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3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1. Panel autenticado de gestión y filtrado de tickets.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524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3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2. Diagrama CRUD integrado dentro de la aplicación.</w:t>
      </w:r>
    </w:p>
    <w:p>
      <w:pPr>
        <w:pStyle w:val="Heading2"/>
        <w:keepNext/>
        <w:spacing w:after="120" w:before="160" w:line="360" w:lineRule="auto"/>
      </w:pPr>
      <w:r>
        <w:rPr>
          <w:rFonts w:ascii="Arial" w:cs="Arial" w:eastAsia="Arial" w:hAnsi="Arial"/>
          <w:b/>
          <w:bCs/>
          <w:color w:val="1261A0"/>
          <w:sz w:val="22"/>
          <w:szCs w:val="22"/>
        </w:rPr>
        <w:t xml:space="preserve">3.2 Implementación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solución utiliza React y TypeScript en la interfaz; tRPC y Zod como contrato tipado y validación; Express para el servidor; Drizzle ORM para consultas parametrizadas; y una base de datos MySQL/TiDB administrada en la nube. Esta combinación permite mantener el mismo tipo de datos desde el formulario hasta la persistencia.</w:t>
      </w:r>
    </w:p>
    <w:tbl>
      <w:tblPr>
        <w:tblW w:type="pct" w:w="100%"/>
        <w:tblBorders>
          <w:top w:val="single" w:color="D7E2EA" w:sz="4"/>
          <w:left w:val="single" w:color="D7E2EA" w:sz="4"/>
          <w:bottom w:val="single" w:color="D7E2EA" w:sz="4"/>
          <w:right w:val="single" w:color="D7E2EA" w:sz="4"/>
          <w:insideH w:val="single" w:color="D7E2EA" w:sz="4"/>
          <w:insideV w:val="single" w:color="D7E2EA" w:sz="4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Capa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Componentes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Responsabilidad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Presentación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React, Tailwind CSS y componentes accesibles.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Formularios, filtros, detalle, indicadores y documentación.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Contrato de API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tRPC y Zod.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Validar entradas y exponer consultas y mutaciones tipadas.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Autorización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Políticas de colaborador, técnico y coordinador.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Impedir lectura o modificación fuera del alcance del rol.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Persistencia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Drizzle ORM y base de datos cloud.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Guardar tickets, comentarios, historial y marcas de tiempo.</w:t>
            </w:r>
          </w:p>
        </w:tc>
      </w:tr>
    </w:tbl>
    <w:p>
      <w:pPr>
        <w:spacing w:after="120"/>
      </w:pP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Aplicación publicada y verificada: https://soporteya-nogales.manus.space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El repositorio de evidencia se presenta en la interfaz. Referencia: Enlace configurable desde la interfaz al exportar el proyecto a GitHub.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El proceso de implementación comprendió la definición del esquema, generación y revisión de la migración SQL, aplicación en la base de datos, construcción de procedimientos del servidor, desarrollo de vistas, integración de indicadores y ejecución de pruebas automatizadas.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524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3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3. Formulario de alta con campos, validación y estado inicial.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524500" cy="3457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3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4. Indicadores exclusivos para coordinación.</w:t>
      </w:r>
    </w:p>
    <w:p>
      <w:pPr>
        <w:pStyle w:val="Heading2"/>
        <w:keepNext/>
        <w:spacing w:after="120" w:before="160" w:line="360" w:lineRule="auto"/>
      </w:pPr>
      <w:r>
        <w:rPr>
          <w:rFonts w:ascii="Arial" w:cs="Arial" w:eastAsia="Arial" w:hAnsi="Arial"/>
          <w:b/>
          <w:bCs/>
          <w:color w:val="1261A0"/>
          <w:sz w:val="22"/>
          <w:szCs w:val="22"/>
        </w:rPr>
        <w:t xml:space="preserve">3.3 Pruebas de seguridad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auditoría automatizada se ejecutó sobre 5 archivos y reportó 8 de 8 pruebas aprobadas. Los resultados visibles en la aplicación se generan desde el mismo archivo de auditoría utilizado para esta documentación.</w:t>
      </w:r>
    </w:p>
    <w:tbl>
      <w:tblPr>
        <w:tblW w:type="pct" w:w="100%"/>
        <w:tblBorders>
          <w:top w:val="single" w:color="D7E2EA" w:sz="4"/>
          <w:left w:val="single" w:color="D7E2EA" w:sz="4"/>
          <w:bottom w:val="single" w:color="D7E2EA" w:sz="4"/>
          <w:right w:val="single" w:color="D7E2EA" w:sz="4"/>
          <w:insideH w:val="single" w:color="D7E2EA" w:sz="4"/>
          <w:insideV w:val="single" w:color="D7E2EA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Prueba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Tipo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Resultado</w:t>
            </w:r>
          </w:p>
        </w:tc>
        <w:tc>
          <w:tcPr>
            <w:shd w:fill="102A43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Evidencia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Validación de entradas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Estática y dinámica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Aprobada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Esquemas Zod para longitud, catálogos y tipos; casos válidos e inválidos incluidos en Vitest.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Autenticación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Dinámica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Aprobada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La prueba invoca una mutación sin sesión y verifica la respuesta UNAUTHORIZED antes de acceder a datos.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Control de acceso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Estática y dinámica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Aprobada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Políticas por rol verificadas unitariamente; una prueba dinámica confirma FORBIDDEN para indicadores de coordinación.</w:t>
            </w:r>
          </w:p>
        </w:tc>
      </w:tr>
      <w:tr>
        <w:trPr>
          <w:cantSplit/>
        </w:trPr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Inyección y datos no confiables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Estática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Aprobada</w:t>
            </w:r>
          </w:p>
        </w:tc>
        <w:tc>
          <w:tcPr>
            <w:shd w:fill="FFFFFF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line="360" w:lineRule="auto"/>
              <w:jc w:val="both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2"/>
                <w:szCs w:val="22"/>
              </w:rPr>
              <w:t xml:space="preserve">Consultas parametrizadas mediante ORM; no se construyen sentencias SQL con entradas del usuario.</w:t>
            </w:r>
          </w:p>
        </w:tc>
      </w:tr>
    </w:tbl>
    <w:p>
      <w:pPr>
        <w:spacing w:after="120"/>
      </w:pP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Las pruebas dinámicas invocan procedimientos protegidos sin sesión y con un rol no autorizado para verificar respuestas UNAUTHORIZED y FORBIDDEN antes de realizar operaciones en la base. Las pruebas estáticas revisan validadores, políticas y ausencia de concatenación SQL con entradas del usuario.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52450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line="360"/>
        <w:jc w:val="center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Figura 5. Resultados de controles estáticos y dinámicos visibles en la interfaz.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Conclusión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Etapa 3 convirtió el diseño de SoporteYa en una aplicación web funcional con persistencia en la nube. El CRUD implementado cubre el ciclo de creación, consulta, atención y cierre, mientras que los comentarios y el historial mantienen un expediente comprensible para los tres perfiles definidos.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La separación entre interfaz, contrato tipado, autorización y persistencia facilita comprobar cada responsabilidad. Los indicadores del coordinador se calculan a partir de registros vigentes y las acciones sensibles se limitan en el servidor, por lo que la seguridad no depende únicamente de ocultar controles visuales.</w:t>
      </w:r>
    </w:p>
    <w:p>
      <w:pPr>
        <w:widowControl/>
        <w:spacing w:after="120" w:line="360" w:lineRule="auto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El resultado cumple los apartados 3.1, 3.2 y 3.3 y deja preparada una base extensible para adjuntos, notificaciones y distribución móvil posterior. La documentación integrada y el Word descargable permiten verificar tanto el funcionamiento técnico como el cumplimiento académico.</w:t>
      </w:r>
    </w:p>
    <w:p>
      <w:pPr>
        <w:pStyle w:val="Heading1"/>
        <w:keepNext/>
        <w:pageBreakBefore/>
        <w:spacing w:after="120" w:before="240" w:line="360" w:lineRule="auto"/>
      </w:pPr>
      <w:r>
        <w:rPr>
          <w:rFonts w:ascii="Arial" w:cs="Arial" w:eastAsia="Arial" w:hAnsi="Arial"/>
          <w:b/>
          <w:bCs/>
          <w:color w:val="102A43"/>
          <w:sz w:val="24"/>
          <w:szCs w:val="24"/>
        </w:rPr>
        <w:t xml:space="preserve">Referencias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Argentesting. (2021, 22 de octubre). Desarrollo seguro sobre aplicaciones móviles [Video]. YouTube. https://www.youtube.com/watch?v=k5xOeh3WON4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Drizzle Team. (s. f.). Drizzle ORM documentation. https://orm.drizzle.team/docs/overview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Grupo Babel. (2020, 19 de agosto). Herramientas para pruebas de seguridad de aplicaciones [Video]. YouTube. https://www.youtube.com/watch?v=G4HoSGUaF2Y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OWASP Foundation. (2024). OWASP Web Security Testing Guide. https://owasp.org/www-project-web-security-testing-guide/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OWASP Foundation. (2025). OWASP Application Security Verification Standard. https://owasp.org/www-project-application-security-verification-standard/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React Team. (2026). React documentation. https://react.dev/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Testing Para Todos. (2020, 11 de agosto). Cómo hacer testing de una app (100 % práctico): Introducción al testing [Video]. YouTube. https://www.youtube.com/watch?v=miRs8XlZRcI</w:t>
      </w:r>
    </w:p>
    <w:p>
      <w:pPr>
        <w:spacing w:after="120" w:line="360" w:lineRule="auto"/>
        <w:ind w:left="720" w:hanging="720"/>
        <w:jc w:val="both"/>
      </w:pPr>
      <w:r>
        <w:rPr>
          <w:rFonts w:ascii="Arial" w:cs="Arial" w:eastAsia="Arial" w:hAnsi="Arial"/>
          <w:color w:val="222222"/>
          <w:sz w:val="22"/>
          <w:szCs w:val="22"/>
        </w:rPr>
        <w:t xml:space="preserve">Zod. (2026). TypeScript-first schema validation with static type inference. https://zod.dev/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222222"/>
        <w:sz w:val="18"/>
        <w:szCs w:val="18"/>
      </w:rPr>
      <w:t xml:space="preserve">Arturo Vega Castillo · Página </w:t>
    </w:r>
    <w:r>
      <w:rPr>
        <w:rFonts w:ascii="Arial" w:cs="Arial" w:eastAsia="Arial" w:hAnsi="Arial"/>
        <w:color w:val="222222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1261A0"/>
        <w:sz w:val="18"/>
        <w:szCs w:val="18"/>
      </w:rPr>
      <w:t xml:space="preserve">SoporteYa · Proyecto Integrador Etapa 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>
      <w:pPr>
        <w:spacing w:after="120"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c6f183889a8dbb5e5f14a0b144b2d4fd999c43e.png"/><Relationship Id="rId10" Type="http://schemas.openxmlformats.org/officeDocument/2006/relationships/image" Target="media/137693a4aa00dffcd783a858607990e567d659e2.png"/><Relationship Id="rId11" Type="http://schemas.openxmlformats.org/officeDocument/2006/relationships/image" Target="media/963faab84ef13311a225b77912ebb31a7ac17d36.png"/><Relationship Id="rId12" Type="http://schemas.openxmlformats.org/officeDocument/2006/relationships/image" Target="media/3465003717a1b8be82ceb00714a984db3e0cd3ab.png"/><Relationship Id="rId13" Type="http://schemas.openxmlformats.org/officeDocument/2006/relationships/image" Target="media/8c69f18f0a4b73967a6ca9682cc6ead6aed46304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Proyecto Integrador Etapa 3 — SoporteYa</dc:title>
  <dc:creator>Arturo Vega Castillo</dc:creator>
  <dc:description>Desarrollo, implementación y pruebas de seguridad de SoporteYa.</dc:description>
  <cp:lastModifiedBy>Un-named</cp:lastModifiedBy>
  <cp:revision>1</cp:revision>
  <dcterms:created xsi:type="dcterms:W3CDTF">2026-08-19T03:41:54.307Z</dcterms:created>
  <dcterms:modified xsi:type="dcterms:W3CDTF">2026-08-19T03:41:54.307Z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