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igntralTitle"/>
        <w:spacing w:before="0" w:after="100" w:line="240" w:lineRule="auto"/>
        <w:jc w:val="left"/>
      </w:pPr>
      <w:r>
        <w:t>Signtral MVP Workflows</w:t>
      </w:r>
    </w:p>
    <w:p>
      <w:pPr>
        <w:pStyle w:val="SigntralSubtitle"/>
        <w:spacing w:before="0" w:after="60" w:line="264" w:lineRule="auto"/>
      </w:pPr>
      <w:r>
        <w:t>Brand subscription, screen and slot assignment, and brand-side visibility workflow</w:t>
      </w:r>
    </w:p>
    <w:p>
      <w:pPr>
        <w:pStyle w:val="SigntralSmall"/>
        <w:spacing w:before="0" w:after="320" w:line="240" w:lineRule="auto"/>
      </w:pPr>
      <w:r>
        <w:t>Prepared for Signtral product planning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04"/>
            <w:shd w:fill="F7F9FF"/>
            <w:tcBorders>
              <w:left w:val="single" w:sz="8" w:color="D7DDF7"/>
              <w:top w:val="single" w:sz="8" w:color="D7DDF7"/>
              <w:right w:val="single" w:sz="8" w:color="D7DDF7"/>
              <w:bottom w:val="single" w:sz="8" w:color="D7DDF7"/>
            </w:tcBorders>
            <w:vAlign w:val="center"/>
          </w:tcPr>
          <w:p>
            <w:pPr>
              <w:spacing w:before="0" w:after="40" w:line="240" w:lineRule="auto"/>
            </w:pPr>
            <w:r>
              <w:rPr>
                <w:b/>
                <w:color w:val="4F46E5"/>
              </w:rPr>
              <w:t>Operating model</w:t>
            </w:r>
          </w:p>
          <w:p>
            <w:pPr>
              <w:spacing w:before="0" w:after="0" w:line="269" w:lineRule="auto"/>
            </w:pPr>
            <w:r>
              <w:t>Signtral is an admin-operated digital signage platform. Brands subscribe, admin selects screens and slot placements, and brands receive read-only visibility into their subscription, assigned screens and slots, and proof of playback.</w:t>
            </w:r>
          </w:p>
        </w:tc>
      </w:tr>
    </w:tbl>
    <w:p/>
    <w:p>
      <w:pPr>
        <w:pStyle w:val="SigntralH1"/>
        <w:spacing w:before="200" w:after="80" w:line="252" w:lineRule="auto"/>
      </w:pPr>
      <w:r>
        <w:t>1. Core model summary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Each screen has 1 playlist.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Each playlist contains 20 fixed slots.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All 20 slots run in a continuous loop.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Admin assigns advertisers to screens and slots based on subscription scope.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Brands do not manage operations. They only view subscription details, assigned placements, and proof of playback.</w:t>
      </w:r>
    </w:p>
    <w:p>
      <w:pPr>
        <w:pStyle w:val="SigntralH2"/>
        <w:spacing w:before="120" w:after="40" w:line="252" w:lineRule="auto"/>
      </w:pPr>
      <w:r>
        <w:t>Workflow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EEF2FF"/>
            <w:vAlign w:val="center"/>
            <w:tcBorders>
              <w:left w:val="single" w:sz="8" w:color="D6DAF0"/>
              <w:top w:val="single" w:sz="8" w:color="D6DAF0"/>
              <w:right w:val="single" w:sz="8" w:color="D6DAF0"/>
              <w:bottom w:val="single" w:sz="8" w:color="D6DAF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4F46E5"/>
              </w:rPr>
              <w:t>Workflow</w:t>
            </w:r>
          </w:p>
        </w:tc>
        <w:tc>
          <w:tcPr>
            <w:tcW w:type="dxa" w:w="2592"/>
            <w:shd w:fill="EEF2FF"/>
            <w:vAlign w:val="center"/>
            <w:tcBorders>
              <w:left w:val="single" w:sz="8" w:color="D6DAF0"/>
              <w:top w:val="single" w:sz="8" w:color="D6DAF0"/>
              <w:right w:val="single" w:sz="8" w:color="D6DAF0"/>
              <w:bottom w:val="single" w:sz="8" w:color="D6DAF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4F46E5"/>
              </w:rPr>
              <w:t>Primary owner</w:t>
            </w:r>
          </w:p>
        </w:tc>
        <w:tc>
          <w:tcPr>
            <w:tcW w:type="dxa" w:w="2448"/>
            <w:shd w:fill="EEF2FF"/>
            <w:vAlign w:val="center"/>
            <w:tcBorders>
              <w:left w:val="single" w:sz="8" w:color="D6DAF0"/>
              <w:top w:val="single" w:sz="8" w:color="D6DAF0"/>
              <w:right w:val="single" w:sz="8" w:color="D6DAF0"/>
              <w:bottom w:val="single" w:sz="8" w:color="D6DAF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4F46E5"/>
              </w:rPr>
              <w:t>Main output</w:t>
            </w:r>
          </w:p>
        </w:tc>
        <w:tc>
          <w:tcPr>
            <w:tcW w:type="dxa" w:w="2304"/>
            <w:shd w:fill="EEF2FF"/>
            <w:vAlign w:val="center"/>
            <w:tcBorders>
              <w:left w:val="single" w:sz="8" w:color="D6DAF0"/>
              <w:top w:val="single" w:sz="8" w:color="D6DAF0"/>
              <w:right w:val="single" w:sz="8" w:color="D6DAF0"/>
              <w:bottom w:val="single" w:sz="8" w:color="D6DAF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4F46E5"/>
              </w:rPr>
              <w:t>Brand visibility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Brand subscription</w:t>
            </w:r>
          </w:p>
        </w:tc>
        <w:tc>
          <w:tcPr>
            <w:tcW w:type="dxa" w:w="2592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center"/>
            </w:pPr>
            <w:r>
              <w:t>Admin</w:t>
            </w:r>
          </w:p>
        </w:tc>
        <w:tc>
          <w:tcPr>
            <w:tcW w:type="dxa" w:w="2448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Active subscription record</w:t>
            </w:r>
          </w:p>
        </w:tc>
        <w:tc>
          <w:tcPr>
            <w:tcW w:type="dxa" w:w="2304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Plan, dates, payment, coverage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Screen and slot assignment</w:t>
            </w:r>
          </w:p>
        </w:tc>
        <w:tc>
          <w:tcPr>
            <w:tcW w:type="dxa" w:w="2592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center"/>
            </w:pPr>
            <w:r>
              <w:t>Admin</w:t>
            </w:r>
          </w:p>
        </w:tc>
        <w:tc>
          <w:tcPr>
            <w:tcW w:type="dxa" w:w="2448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Live slot placements</w:t>
            </w:r>
          </w:p>
        </w:tc>
        <w:tc>
          <w:tcPr>
            <w:tcW w:type="dxa" w:w="2304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Assigned screens, slots, creative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Brand dashboard visibility</w:t>
            </w:r>
          </w:p>
        </w:tc>
        <w:tc>
          <w:tcPr>
            <w:tcW w:type="dxa" w:w="2592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center"/>
            </w:pPr>
            <w:r>
              <w:t>Read-only brand</w:t>
            </w:r>
          </w:p>
        </w:tc>
        <w:tc>
          <w:tcPr>
            <w:tcW w:type="dxa" w:w="2448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Playback visibility</w:t>
            </w:r>
          </w:p>
        </w:tc>
        <w:tc>
          <w:tcPr>
            <w:tcW w:type="dxa" w:w="2304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Proof of playback and status</w:t>
            </w:r>
          </w:p>
        </w:tc>
      </w:tr>
    </w:tbl>
    <w:p/>
    <w:p>
      <w:pPr>
        <w:pStyle w:val="SigntralH1"/>
        <w:spacing w:before="200" w:after="80" w:line="252" w:lineRule="auto"/>
      </w:pPr>
      <w:r>
        <w:t>2. Workflow 1 - Brand subscription</w:t>
      </w:r>
    </w:p>
    <w:p>
      <w:pPr>
        <w:spacing w:before="0" w:after="160" w:line="269" w:lineRule="auto"/>
      </w:pPr>
      <w:r>
        <w:t>Goal: Convert an interested brand into an active subscription that can be used for slot assignment.</w:t>
      </w:r>
    </w:p>
    <w:p>
      <w:pPr>
        <w:pStyle w:val="SigntralH2"/>
        <w:spacing w:before="120" w:after="40" w:line="252" w:lineRule="auto"/>
      </w:pPr>
      <w:r>
        <w:t>Step-by-step flow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Brand submits an enquiry form from the website.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Admin reviews the lead and qualifies the requirement.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Admin creates the brand account manually after approval.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Admin creates a subscription for the brand.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Admin sets subscription dates, screen coverage, slot entitlement, and payment status.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Admin activates the subscription.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Brand receives login access to view subscription details and proof of playback.</w:t>
      </w:r>
    </w:p>
    <w:p>
      <w:pPr>
        <w:pStyle w:val="SigntralH2"/>
        <w:spacing w:before="120" w:after="40" w:line="252" w:lineRule="auto"/>
      </w:pPr>
      <w:r>
        <w:t>Required subscription 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ECFEFF"/>
            <w:tcBorders>
              <w:left w:val="single" w:sz="8" w:color="D6DAF0"/>
              <w:top w:val="single" w:sz="8" w:color="D6DAF0"/>
              <w:right w:val="single" w:sz="8" w:color="D6DAF0"/>
              <w:bottom w:val="single" w:sz="8" w:color="D6DAF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4F46E5"/>
              </w:rPr>
              <w:t>Field</w:t>
            </w:r>
          </w:p>
        </w:tc>
        <w:tc>
          <w:tcPr>
            <w:tcW w:type="dxa" w:w="6336"/>
            <w:shd w:fill="EEF2FF"/>
            <w:tcBorders>
              <w:left w:val="single" w:sz="8" w:color="D6DAF0"/>
              <w:top w:val="single" w:sz="8" w:color="D6DAF0"/>
              <w:right w:val="single" w:sz="8" w:color="D6DAF0"/>
              <w:bottom w:val="single" w:sz="8" w:color="D6DAF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4F46E5"/>
              </w:rPr>
              <w:t>Purpose</w:t>
            </w:r>
          </w:p>
        </w:tc>
      </w:tr>
      <w:tr>
        <w:tc>
          <w:tcPr>
            <w:tcW w:type="dxa" w:w="3168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Subscription ID</w:t>
            </w:r>
          </w:p>
        </w:tc>
        <w:tc>
          <w:tcPr>
            <w:tcW w:type="dxa" w:w="6336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Unique internal identifier for tracking and support.</w:t>
            </w:r>
          </w:p>
        </w:tc>
      </w:tr>
      <w:tr>
        <w:tc>
          <w:tcPr>
            <w:tcW w:type="dxa" w:w="3168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Brand name</w:t>
            </w:r>
          </w:p>
        </w:tc>
        <w:tc>
          <w:tcPr>
            <w:tcW w:type="dxa" w:w="6336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Links the subscription to the correct advertiser account.</w:t>
            </w:r>
          </w:p>
        </w:tc>
      </w:tr>
      <w:tr>
        <w:tc>
          <w:tcPr>
            <w:tcW w:type="dxa" w:w="3168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Plan name</w:t>
            </w:r>
          </w:p>
        </w:tc>
        <w:tc>
          <w:tcPr>
            <w:tcW w:type="dxa" w:w="6336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Commercial package name shown in admin and brand view.</w:t>
            </w:r>
          </w:p>
        </w:tc>
      </w:tr>
      <w:tr>
        <w:tc>
          <w:tcPr>
            <w:tcW w:type="dxa" w:w="3168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Start date / End date</w:t>
            </w:r>
          </w:p>
        </w:tc>
        <w:tc>
          <w:tcPr>
            <w:tcW w:type="dxa" w:w="6336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Defines the active service window.</w:t>
            </w:r>
          </w:p>
        </w:tc>
      </w:tr>
      <w:tr>
        <w:tc>
          <w:tcPr>
            <w:tcW w:type="dxa" w:w="3168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Number of screens included</w:t>
            </w:r>
          </w:p>
        </w:tc>
        <w:tc>
          <w:tcPr>
            <w:tcW w:type="dxa" w:w="6336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Maximum number of screens covered under the subscription.</w:t>
            </w:r>
          </w:p>
        </w:tc>
      </w:tr>
      <w:tr>
        <w:tc>
          <w:tcPr>
            <w:tcW w:type="dxa" w:w="3168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Number of slots included</w:t>
            </w:r>
          </w:p>
        </w:tc>
        <w:tc>
          <w:tcPr>
            <w:tcW w:type="dxa" w:w="6336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Maximum active slot placements the brand has purchased.</w:t>
            </w:r>
          </w:p>
        </w:tc>
      </w:tr>
      <w:tr>
        <w:tc>
          <w:tcPr>
            <w:tcW w:type="dxa" w:w="3168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Locations or cities covered</w:t>
            </w:r>
          </w:p>
        </w:tc>
        <w:tc>
          <w:tcPr>
            <w:tcW w:type="dxa" w:w="6336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Clarifies geographical coverage.</w:t>
            </w:r>
          </w:p>
        </w:tc>
      </w:tr>
      <w:tr>
        <w:tc>
          <w:tcPr>
            <w:tcW w:type="dxa" w:w="3168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Payment status</w:t>
            </w:r>
          </w:p>
        </w:tc>
        <w:tc>
          <w:tcPr>
            <w:tcW w:type="dxa" w:w="6336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Tracks whether the subscription is ready to activate.</w:t>
            </w:r>
          </w:p>
        </w:tc>
      </w:tr>
      <w:tr>
        <w:tc>
          <w:tcPr>
            <w:tcW w:type="dxa" w:w="3168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Subscription status</w:t>
            </w:r>
          </w:p>
        </w:tc>
        <w:tc>
          <w:tcPr>
            <w:tcW w:type="dxa" w:w="6336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Draft, Awaiting Payment, Active, Paused, Expired, or Cancelled.</w:t>
            </w:r>
          </w:p>
        </w:tc>
      </w:tr>
      <w:tr>
        <w:tc>
          <w:tcPr>
            <w:tcW w:type="dxa" w:w="3168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Notes</w:t>
            </w:r>
          </w:p>
        </w:tc>
        <w:tc>
          <w:tcPr>
            <w:tcW w:type="dxa" w:w="6336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Internal comments for admin use.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04"/>
            <w:shd w:fill="F7F9FF"/>
            <w:tcBorders>
              <w:left w:val="single" w:sz="8" w:color="D7DDF7"/>
              <w:top w:val="single" w:sz="8" w:color="D7DDF7"/>
              <w:right w:val="single" w:sz="8" w:color="D7DDF7"/>
              <w:bottom w:val="single" w:sz="8" w:color="D7DDF7"/>
            </w:tcBorders>
            <w:vAlign w:val="center"/>
          </w:tcPr>
          <w:p>
            <w:pPr>
              <w:spacing w:before="0" w:after="40" w:line="240" w:lineRule="auto"/>
            </w:pPr>
            <w:r>
              <w:rPr>
                <w:b/>
                <w:color w:val="4F46E5"/>
              </w:rPr>
              <w:t>Key rule</w:t>
            </w:r>
          </w:p>
          <w:p>
            <w:pPr>
              <w:spacing w:before="0" w:after="0" w:line="269" w:lineRule="auto"/>
            </w:pPr>
            <w:r>
              <w:t>No screen or slot assignment should become active unless the brand has an active subscription.</w:t>
            </w:r>
          </w:p>
        </w:tc>
      </w:tr>
    </w:tbl>
    <w:p/>
    <w:p>
      <w:pPr>
        <w:pStyle w:val="SigntralH1"/>
        <w:spacing w:before="200" w:after="80" w:line="252" w:lineRule="auto"/>
      </w:pPr>
      <w:r>
        <w:t>3. Workflow 2 - Admin screen and slot assignment</w:t>
      </w:r>
    </w:p>
    <w:p>
      <w:pPr>
        <w:spacing w:before="0" w:after="160" w:line="269" w:lineRule="auto"/>
      </w:pPr>
      <w:r>
        <w:t>Goal: Use the active subscription to assign the brand to the right screens and the right number of slots.</w:t>
      </w:r>
    </w:p>
    <w:p>
      <w:pPr>
        <w:pStyle w:val="SigntralH2"/>
        <w:spacing w:before="120" w:after="40" w:line="252" w:lineRule="auto"/>
      </w:pPr>
      <w:r>
        <w:t>Step-by-step flow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Admin opens the brand’s active subscription.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Admin checks subscription scope: number of screens, number of slots, and active date range.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Admin selects the target screens that fit the brand requirement.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System shows slot availability for each selected screen from Slot 1 to Slot 20.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Admin assigns one or more free slots on each selected screen.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Admin uploads or links the brand creative to the assigned slots.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Admin confirms the date range and activates the placements.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Those slot placements become part of the live playlist loop on each screen.</w:t>
      </w:r>
    </w:p>
    <w:p>
      <w:pPr>
        <w:pStyle w:val="SigntralH2"/>
        <w:spacing w:before="120" w:after="40" w:line="252" w:lineRule="auto"/>
      </w:pPr>
      <w:r>
        <w:t>How assignment should be interpreted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One slot placement = one brand occupying one slot on one screen for a defined date range.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A brand may have one slot on many screens for wider reach.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A brand may have multiple slots on fewer premium screens for higher repetition.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A brand may have multiple slots across multiple screens if the subscription allows it.</w:t>
      </w:r>
    </w:p>
    <w:p>
      <w:pPr>
        <w:pStyle w:val="SigntralH2"/>
        <w:spacing w:before="120" w:after="40" w:line="252" w:lineRule="auto"/>
      </w:pPr>
      <w:r>
        <w:t>Assignment validation rules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Subscription must be Active.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The selected slot must be free for the chosen date range.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The brand must not exceed the number of screens included in the subscription.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The brand must not exceed the number of slots included in the subscription.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One slot cannot be assigned to two brands for the same active time window.</w:t>
      </w:r>
    </w:p>
    <w:p>
      <w:pPr>
        <w:pStyle w:val="SigntralH2"/>
        <w:spacing w:before="120" w:after="40" w:line="252" w:lineRule="auto"/>
      </w:pPr>
      <w:r>
        <w:t>Recommended assignment statuses</w:t>
      </w:r>
    </w:p>
    <w:p>
      <w:pPr>
        <w:spacing w:before="0" w:after="60" w:line="240" w:lineRule="auto"/>
      </w:pPr>
      <w:r>
        <w:rPr>
          <w:b w:val="0"/>
        </w:rPr>
        <w:t xml:space="preserve">Draft, </w:t>
      </w:r>
      <w:r>
        <w:rPr>
          <w:b w:val="0"/>
        </w:rPr>
        <w:t xml:space="preserve">Reserved, </w:t>
      </w:r>
      <w:r>
        <w:rPr>
          <w:b/>
        </w:rPr>
        <w:t xml:space="preserve">Active, </w:t>
      </w:r>
      <w:r>
        <w:rPr>
          <w:b w:val="0"/>
        </w:rPr>
        <w:t xml:space="preserve">Paused, </w:t>
      </w:r>
      <w:r>
        <w:rPr>
          <w:b w:val="0"/>
        </w:rPr>
        <w:t>Expired</w:t>
      </w:r>
    </w:p>
    <w:p>
      <w:pPr>
        <w:pStyle w:val="SigntralH2"/>
        <w:spacing w:before="120" w:after="40" w:line="252" w:lineRule="auto"/>
      </w:pPr>
      <w:r>
        <w:t>Example assignment pattern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EEF2FF"/>
            <w:tcBorders>
              <w:left w:val="single" w:sz="8" w:color="D6DAF0"/>
              <w:top w:val="single" w:sz="8" w:color="D6DAF0"/>
              <w:right w:val="single" w:sz="8" w:color="D6DAF0"/>
              <w:bottom w:val="single" w:sz="8" w:color="D6DAF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4F46E5"/>
              </w:rPr>
              <w:t>Brand</w:t>
            </w:r>
          </w:p>
        </w:tc>
        <w:tc>
          <w:tcPr>
            <w:tcW w:type="dxa" w:w="2448"/>
            <w:shd w:fill="EEF2FF"/>
            <w:tcBorders>
              <w:left w:val="single" w:sz="8" w:color="D6DAF0"/>
              <w:top w:val="single" w:sz="8" w:color="D6DAF0"/>
              <w:right w:val="single" w:sz="8" w:color="D6DAF0"/>
              <w:bottom w:val="single" w:sz="8" w:color="D6DAF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4F46E5"/>
              </w:rPr>
              <w:t>Screen</w:t>
            </w:r>
          </w:p>
        </w:tc>
        <w:tc>
          <w:tcPr>
            <w:tcW w:type="dxa" w:w="1440"/>
            <w:shd w:fill="EEF2FF"/>
            <w:tcBorders>
              <w:left w:val="single" w:sz="8" w:color="D6DAF0"/>
              <w:top w:val="single" w:sz="8" w:color="D6DAF0"/>
              <w:right w:val="single" w:sz="8" w:color="D6DAF0"/>
              <w:bottom w:val="single" w:sz="8" w:color="D6DAF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4F46E5"/>
              </w:rPr>
              <w:t>Slot(s)</w:t>
            </w:r>
          </w:p>
        </w:tc>
        <w:tc>
          <w:tcPr>
            <w:tcW w:type="dxa" w:w="3456"/>
            <w:shd w:fill="EEF2FF"/>
            <w:tcBorders>
              <w:left w:val="single" w:sz="8" w:color="D6DAF0"/>
              <w:top w:val="single" w:sz="8" w:color="D6DAF0"/>
              <w:right w:val="single" w:sz="8" w:color="D6DAF0"/>
              <w:bottom w:val="single" w:sz="8" w:color="D6DAF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4F46E5"/>
              </w:rPr>
              <w:t>Result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Brand A</w:t>
            </w:r>
          </w:p>
        </w:tc>
        <w:tc>
          <w:tcPr>
            <w:tcW w:type="dxa" w:w="2448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center"/>
            </w:pPr>
            <w:r>
              <w:t>5 screens</w:t>
            </w:r>
          </w:p>
        </w:tc>
        <w:tc>
          <w:tcPr>
            <w:tcW w:type="dxa" w:w="1440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center"/>
            </w:pPr>
            <w:r>
              <w:t>1 each</w:t>
            </w:r>
          </w:p>
        </w:tc>
        <w:tc>
          <w:tcPr>
            <w:tcW w:type="dxa" w:w="3456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Wider reach with one appearance in every loop on each screen.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Brand B</w:t>
            </w:r>
          </w:p>
        </w:tc>
        <w:tc>
          <w:tcPr>
            <w:tcW w:type="dxa" w:w="2448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center"/>
            </w:pPr>
            <w:r>
              <w:t>3 screens</w:t>
            </w:r>
          </w:p>
        </w:tc>
        <w:tc>
          <w:tcPr>
            <w:tcW w:type="dxa" w:w="1440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center"/>
            </w:pPr>
            <w:r>
              <w:t>2 each</w:t>
            </w:r>
          </w:p>
        </w:tc>
        <w:tc>
          <w:tcPr>
            <w:tcW w:type="dxa" w:w="3456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Higher frequency on a smaller premium network.</w:t>
            </w:r>
          </w:p>
        </w:tc>
      </w:tr>
      <w:tr>
        <w:tc>
          <w:tcPr>
            <w:tcW w:type="dxa" w:w="2160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Brand C</w:t>
            </w:r>
          </w:p>
        </w:tc>
        <w:tc>
          <w:tcPr>
            <w:tcW w:type="dxa" w:w="2448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center"/>
            </w:pPr>
            <w:r>
              <w:t>10 screens</w:t>
            </w:r>
          </w:p>
        </w:tc>
        <w:tc>
          <w:tcPr>
            <w:tcW w:type="dxa" w:w="1440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center"/>
            </w:pPr>
            <w:r>
              <w:t>2 each</w:t>
            </w:r>
          </w:p>
        </w:tc>
        <w:tc>
          <w:tcPr>
            <w:tcW w:type="dxa" w:w="3456"/>
            <w:vAlign w:val="center"/>
            <w:tcBorders>
              <w:left w:val="single" w:sz="6" w:color="E2E8F0"/>
              <w:top w:val="single" w:sz="6" w:color="E2E8F0"/>
              <w:right w:val="single" w:sz="6" w:color="E2E8F0"/>
              <w:bottom w:val="single" w:sz="6" w:color="E2E8F0"/>
            </w:tcBorders>
          </w:tcPr>
          <w:p>
            <w:pPr>
              <w:spacing w:before="0" w:after="0" w:line="259" w:lineRule="auto"/>
              <w:jc w:val="left"/>
            </w:pPr>
            <w:r>
              <w:t>Broader reach plus stronger repetition.</w:t>
            </w:r>
          </w:p>
        </w:tc>
      </w:tr>
    </w:tbl>
    <w:p/>
    <w:p>
      <w:pPr>
        <w:pStyle w:val="SigntralH1"/>
        <w:spacing w:before="200" w:after="80" w:line="252" w:lineRule="auto"/>
      </w:pPr>
      <w:r>
        <w:t>4. Workflow 3 - Brand dashboard and subscription visibility</w:t>
      </w:r>
    </w:p>
    <w:p>
      <w:pPr>
        <w:spacing w:before="0" w:after="160" w:line="269" w:lineRule="auto"/>
      </w:pPr>
      <w:r>
        <w:t>Goal: Give the brand read-only clarity on what they purchased, where they are live, and whether playback is happening.</w:t>
      </w:r>
    </w:p>
    <w:p>
      <w:pPr>
        <w:pStyle w:val="SigntralH2"/>
        <w:spacing w:before="120" w:after="40" w:line="252" w:lineRule="auto"/>
      </w:pPr>
      <w:r>
        <w:t>What the brand should see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Subscription summary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Assigned screens and slots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Proof of playback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Support or contact section</w:t>
      </w:r>
    </w:p>
    <w:p>
      <w:pPr>
        <w:pStyle w:val="SigntralH2"/>
        <w:spacing w:before="120" w:after="40" w:line="252" w:lineRule="auto"/>
      </w:pPr>
      <w:r>
        <w:t>A. Subscription page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Subscription name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Subscription status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Start date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End date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Duration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Number of screens included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Number of slots included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Cities or locations covered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Payment status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Days remaining or renewal reminder</w:t>
      </w:r>
    </w:p>
    <w:p>
      <w:pPr>
        <w:pStyle w:val="SigntralH2"/>
        <w:spacing w:before="120" w:after="40" w:line="252" w:lineRule="auto"/>
      </w:pPr>
      <w:r>
        <w:t>B. Screen and slot visibility</w:t>
      </w:r>
    </w:p>
    <w:p>
      <w:pPr>
        <w:spacing w:before="0" w:after="80" w:line="269" w:lineRule="auto"/>
      </w:pPr>
      <w:r>
        <w:t>This view should answer one question clearly: Where is my brand live right now?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Location name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Screen name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Slot number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Creative name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Active from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Active until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Current status</w:t>
      </w:r>
    </w:p>
    <w:p>
      <w:pPr>
        <w:pStyle w:val="SigntralH2"/>
        <w:spacing w:before="120" w:after="40" w:line="252" w:lineRule="auto"/>
      </w:pPr>
      <w:r>
        <w:t>C. Proof of playback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Screen name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Location name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Slot number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Creative name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Playback count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Last played timestamp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Date-wise or screen-wise play logs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504"/>
            <w:shd w:fill="F7F9FF"/>
            <w:tcBorders>
              <w:left w:val="single" w:sz="8" w:color="D7DDF7"/>
              <w:top w:val="single" w:sz="8" w:color="D7DDF7"/>
              <w:right w:val="single" w:sz="8" w:color="D7DDF7"/>
              <w:bottom w:val="single" w:sz="8" w:color="D7DDF7"/>
            </w:tcBorders>
            <w:vAlign w:val="center"/>
          </w:tcPr>
          <w:p>
            <w:pPr>
              <w:spacing w:before="0" w:after="40" w:line="240" w:lineRule="auto"/>
            </w:pPr>
            <w:r>
              <w:rPr>
                <w:b/>
                <w:color w:val="4F46E5"/>
              </w:rPr>
              <w:t>Recommended labels</w:t>
            </w:r>
          </w:p>
          <w:p>
            <w:pPr>
              <w:spacing w:before="0" w:after="0" w:line="269" w:lineRule="auto"/>
            </w:pPr>
            <w:r>
              <w:t>Use client-facing wording such as Subscription Summary, Assigned Screens and Slots, Proof of Playback, and Playback Visibility. These labels are clear and professional.</w:t>
            </w:r>
          </w:p>
        </w:tc>
      </w:tr>
    </w:tbl>
    <w:p/>
    <w:p>
      <w:pPr>
        <w:pStyle w:val="SigntralH1"/>
        <w:spacing w:before="200" w:after="80" w:line="252" w:lineRule="auto"/>
      </w:pPr>
      <w:r>
        <w:t>5. End-to-end flow connecting all three workflows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Brand submits enquiry.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Admin approves the brand and creates the brand account.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Admin creates and activates the subscription.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Admin selects screens and free slots within the subscription limits.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Admin links the creative and activates the placements.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Brand logs in and views the subscription, assigned placements, and proof of playback.</w:t>
      </w:r>
    </w:p>
    <w:p>
      <w:pPr>
        <w:pStyle w:val="SigntralH2"/>
        <w:spacing w:before="120" w:after="40" w:line="252" w:lineRule="auto"/>
      </w:pPr>
      <w:r>
        <w:t>Recommended build order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First: Brand subscription workflow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Second: Screen and slot assignment workflow</w:t>
      </w:r>
    </w:p>
    <w:p>
      <w:pPr>
        <w:spacing w:before="0" w:after="40" w:line="269" w:lineRule="auto"/>
        <w:ind w:left="317" w:hanging="259"/>
      </w:pPr>
      <w:r>
        <w:rPr>
          <w:b/>
        </w:rPr>
        <w:t xml:space="preserve">• </w:t>
      </w:r>
      <w:r>
        <w:t>Third: Brand dashboard and proof-of-play visibility workflow</w:t>
      </w:r>
    </w:p>
    <w:p>
      <w:pPr>
        <w:spacing w:before="160" w:after="0" w:line="276" w:lineRule="auto"/>
      </w:pPr>
      <w:r>
        <w:rPr>
          <w:b/>
          <w:color w:val="111827"/>
        </w:rPr>
        <w:t>MVP principle: keep all operational control with admin; keep all brand-side access read-only and transparent.</w:t>
      </w:r>
    </w:p>
    <w:sectPr w:rsidR="00FC693F" w:rsidRPr="0006063C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igntralTitle">
    <w:name w:val="Signtral Title"/>
    <w:rPr>
      <w:rFonts w:ascii="Aptos Display" w:hAnsi="Aptos Display"/>
      <w:b/>
      <w:color w:val="111827"/>
      <w:sz w:val="46"/>
    </w:rPr>
  </w:style>
  <w:style w:type="paragraph" w:customStyle="1" w:styleId="SigntralSubtitle">
    <w:name w:val="Signtral Subtitle"/>
    <w:rPr>
      <w:rFonts w:ascii="Aptos" w:hAnsi="Aptos"/>
      <w:color w:val="4B5563"/>
      <w:sz w:val="22"/>
    </w:rPr>
  </w:style>
  <w:style w:type="paragraph" w:customStyle="1" w:styleId="SigntralH1">
    <w:name w:val="Signtral H1"/>
    <w:rPr>
      <w:rFonts w:ascii="Aptos Display" w:hAnsi="Aptos Display"/>
      <w:b/>
      <w:color w:val="4F46E5"/>
      <w:sz w:val="31"/>
    </w:rPr>
  </w:style>
  <w:style w:type="paragraph" w:customStyle="1" w:styleId="SigntralH2">
    <w:name w:val="Signtral H2"/>
    <w:rPr>
      <w:rFonts w:ascii="Aptos" w:hAnsi="Aptos"/>
      <w:b/>
      <w:color w:val="111827"/>
      <w:sz w:val="23"/>
    </w:rPr>
  </w:style>
  <w:style w:type="paragraph" w:customStyle="1" w:styleId="SigntralSmall">
    <w:name w:val="Signtral Small"/>
    <w:rPr>
      <w:rFonts w:ascii="Aptos" w:hAnsi="Aptos"/>
      <w:color w:val="4B556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