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08" w:rsidRDefault="009D0D51">
      <w:pPr>
        <w:spacing w:after="80"/>
      </w:pPr>
      <w:proofErr w:type="spellStart"/>
      <w:r>
        <w:rPr>
          <w:b/>
          <w:bCs/>
          <w:sz w:val="36"/>
          <w:szCs w:val="36"/>
        </w:rPr>
        <w:t>ThemeCloner</w:t>
      </w:r>
      <w:proofErr w:type="spellEnd"/>
      <w:r>
        <w:rPr>
          <w:b/>
          <w:bCs/>
          <w:sz w:val="36"/>
          <w:szCs w:val="36"/>
        </w:rPr>
        <w:t>: Holdings-Free Discovery of Thematic Exposure via Latent Factor Projection</w:t>
      </w:r>
    </w:p>
    <w:p w:rsidR="00C77008" w:rsidRPr="009D0D51" w:rsidRDefault="009D0D51">
      <w:pPr>
        <w:spacing w:after="240"/>
        <w:rPr>
          <w:color w:val="FF0000"/>
        </w:rPr>
      </w:pPr>
      <w:r w:rsidRPr="009D0D51">
        <w:rPr>
          <w:i/>
          <w:iCs/>
          <w:color w:val="FF0000"/>
          <w:highlight w:val="yellow"/>
        </w:rPr>
        <w:t>Working Draft</w:t>
      </w:r>
    </w:p>
    <w:p w:rsidR="00C77008" w:rsidRDefault="009D0D51">
      <w:pPr>
        <w:pStyle w:val="Heading1"/>
      </w:pPr>
      <w:r>
        <w:t>Abstract</w:t>
      </w:r>
    </w:p>
    <w:p w:rsidR="006C4E82" w:rsidRDefault="009D0D51">
      <w:pPr>
        <w:spacing w:after="160" w:line="276" w:lineRule="auto"/>
      </w:pPr>
      <w:r>
        <w:t>Thematic investing groups companies by exposure t</w:t>
      </w:r>
      <w:r w:rsidR="006C4E82">
        <w:t>o a structural economic driver, such as</w:t>
      </w:r>
      <w:r>
        <w:t xml:space="preserve"> artificial intelligence</w:t>
      </w:r>
      <w:r w:rsidR="006C4E82">
        <w:t xml:space="preserve">, clean energy, or cybersecurity, </w:t>
      </w:r>
      <w:r>
        <w:t xml:space="preserve">rather than by traditional sector </w:t>
      </w:r>
      <w:r w:rsidR="006C4E82">
        <w:t xml:space="preserve">or industry </w:t>
      </w:r>
      <w:r>
        <w:t xml:space="preserve">classification. </w:t>
      </w:r>
      <w:r w:rsidR="002F4C03" w:rsidRPr="002F4C03">
        <w:t>The baskets used to define or express a theme in a portfolio are typically built manually</w:t>
      </w:r>
      <w:r>
        <w:t xml:space="preserve">, </w:t>
      </w:r>
      <w:r w:rsidR="006C4E82">
        <w:t xml:space="preserve">inherently focused on </w:t>
      </w:r>
      <w:r w:rsidR="002F4C03" w:rsidRPr="002F4C03">
        <w:t>large cap companies given the availability of analyst coverage</w:t>
      </w:r>
      <w:r w:rsidR="006C4E82">
        <w:t>, and backward looking. I</w:t>
      </w:r>
      <w:r>
        <w:t xml:space="preserve">t is rarely clear in advance which themes are economically coherent enough to trade. </w:t>
      </w:r>
      <w:r w:rsidR="006C4E82">
        <w:t xml:space="preserve">In this paper we present </w:t>
      </w:r>
      <w:proofErr w:type="spellStart"/>
      <w:r>
        <w:t>ThemeCloner</w:t>
      </w:r>
      <w:proofErr w:type="spellEnd"/>
      <w:r>
        <w:t xml:space="preserve">, </w:t>
      </w:r>
      <w:r w:rsidR="005E0AFF">
        <w:t>an engine that does not use holdings and that extracts</w:t>
      </w:r>
      <w:r w:rsidR="005E0AFF">
        <w:t xml:space="preserve"> </w:t>
      </w:r>
      <w:r>
        <w:t>a theme's statistical signature from the return c</w:t>
      </w:r>
      <w:r w:rsidR="006C4E82">
        <w:t xml:space="preserve">o-movement of thematic reference baskets, </w:t>
      </w:r>
      <w:r w:rsidR="005E0AFF">
        <w:t>such as</w:t>
      </w:r>
      <w:r w:rsidR="006C4E82">
        <w:t xml:space="preserve"> exchange </w:t>
      </w:r>
      <w:r>
        <w:t>traded funds (ETFs)</w:t>
      </w:r>
      <w:r w:rsidR="006C4E82">
        <w:t>, in a broad large and mid</w:t>
      </w:r>
      <w:r>
        <w:t xml:space="preserve">cap universe, </w:t>
      </w:r>
      <w:r w:rsidR="006C4E82">
        <w:t>and project</w:t>
      </w:r>
      <w:r w:rsidR="005E0AFF">
        <w:t>s</w:t>
      </w:r>
      <w:r w:rsidR="006C4E82">
        <w:t xml:space="preserve"> that </w:t>
      </w:r>
      <w:r>
        <w:t xml:space="preserve">signature onto a disjoint </w:t>
      </w:r>
      <w:r w:rsidR="006C4E82">
        <w:t xml:space="preserve">uncovered and underexplored universe of assets (for example </w:t>
      </w:r>
      <w:r>
        <w:t>small</w:t>
      </w:r>
      <w:r w:rsidR="006C4E82">
        <w:t xml:space="preserve"> </w:t>
      </w:r>
      <w:r>
        <w:t>cap universe</w:t>
      </w:r>
      <w:r w:rsidR="006C4E82">
        <w:t>)</w:t>
      </w:r>
      <w:r>
        <w:t xml:space="preserve"> to discover stocks with genuine thematic exposure that no classification or ETF holding has labeled. </w:t>
      </w:r>
    </w:p>
    <w:p w:rsidR="006C4E82" w:rsidRDefault="009D0D51">
      <w:pPr>
        <w:spacing w:after="160" w:line="276" w:lineRule="auto"/>
      </w:pPr>
      <w:r>
        <w:t xml:space="preserve">Using principal component analysis on factor-residualized, standardized returns, our central result is a diagnostic: a theme produces clean, investable baskets if and only if it uniquely owns a latent factor. </w:t>
      </w:r>
      <w:r w:rsidR="002F4C03" w:rsidRPr="002F4C03">
        <w:t>Concentration alone is not enough: a theme can be concentrated on a factor it shares with others</w:t>
      </w:r>
      <w:r>
        <w:t xml:space="preserve">, yielding baskets that </w:t>
      </w:r>
      <w:r w:rsidR="006C4E82">
        <w:t>look clean but are contaminated,</w:t>
      </w:r>
      <w:r>
        <w:t xml:space="preserve"> so it is distinctness of factor ownership, not coherence per se, that determines </w:t>
      </w:r>
      <w:proofErr w:type="spellStart"/>
      <w:r>
        <w:t>tradeability</w:t>
      </w:r>
      <w:proofErr w:type="spellEnd"/>
      <w:r>
        <w:t xml:space="preserve">. </w:t>
      </w:r>
      <w:r w:rsidR="002F4C03" w:rsidRPr="002F4C03">
        <w:t>The same criterion also flags theme overlap and tests whether the discovered signals survive controls for stock level momentum. This gives a direct answer to the claim that thematic investing is simply momentum.</w:t>
      </w:r>
      <w:r>
        <w:t xml:space="preserve"> </w:t>
      </w:r>
    </w:p>
    <w:p w:rsidR="00C77008" w:rsidRDefault="009D0D51">
      <w:pPr>
        <w:spacing w:after="160"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rsidR="00C77008" w:rsidRDefault="009D0D51">
      <w:pPr>
        <w:pStyle w:val="Heading1"/>
      </w:pPr>
      <w:r>
        <w:t>1. Introduction</w:t>
      </w:r>
    </w:p>
    <w:p w:rsidR="00E853A8" w:rsidRDefault="00E853A8" w:rsidP="00E853A8">
      <w:pPr>
        <w:spacing w:after="160" w:line="276" w:lineRule="auto"/>
      </w:pPr>
      <w:r>
        <w:t xml:space="preserve">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w:t>
      </w:r>
      <w:proofErr w:type="spellStart"/>
      <w:r>
        <w:t>sellside</w:t>
      </w:r>
      <w:proofErr w:type="spellEnd"/>
      <w:r>
        <w:t xml:space="preserve"> baskets. These group companies by shared exposure to a trend rather than by predefined sector classifications, such as the Global Industry Classification Standard (GICS) or the Industry Classification Benchmark (ICB). The premise is that the relevant axis of </w:t>
      </w:r>
      <w:proofErr w:type="spellStart"/>
      <w:r>
        <w:t>comovement</w:t>
      </w:r>
      <w:proofErr w:type="spellEnd"/>
      <w:r>
        <w:t xml:space="preserve"> is the theme, not the sector.</w:t>
      </w:r>
    </w:p>
    <w:p w:rsidR="00E853A8" w:rsidRDefault="00E853A8" w:rsidP="00E853A8">
      <w:pPr>
        <w:spacing w:after="160" w:line="276" w:lineRule="auto"/>
      </w:pPr>
    </w:p>
    <w:p w:rsidR="00E853A8" w:rsidRDefault="00E853A8" w:rsidP="00E853A8">
      <w:pPr>
        <w:spacing w:after="160" w:line="276" w:lineRule="auto"/>
      </w:pPr>
      <w:r>
        <w:t xml:space="preserve">Three difficulties undermine this premise in practice. First, thematic baskets are biased toward large capitalization companies and are defined by holdings. They are built from the constituent lists of thematic products, so smaller companies that may carry a theme’s purest exposure, but that no reference basket includes, are invisible to them. Second, the baskets are manually constructed from holdings data and fundamental classification, which makes them costly to build, opaque, and difficult to extend to a universe the index provider has not already labeled. Third, there is no principled way to know in advance which themes are economically coherent enough to trade. Some themes correspond to genuine, distinct patterns of </w:t>
      </w:r>
      <w:proofErr w:type="spellStart"/>
      <w:r>
        <w:t>comovement</w:t>
      </w:r>
      <w:proofErr w:type="spellEnd"/>
      <w:r>
        <w:t>,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w:t>
      </w:r>
      <w:r>
        <w:t xml:space="preserve"> </w:t>
      </w:r>
    </w:p>
    <w:p w:rsidR="00141203" w:rsidRPr="00141203" w:rsidRDefault="00141203" w:rsidP="00141203">
      <w:pPr>
        <w:pStyle w:val="Heading1"/>
        <w:rPr>
          <w:b w:val="0"/>
          <w:bCs w:val="0"/>
          <w:color w:val="auto"/>
          <w:sz w:val="22"/>
          <w:szCs w:val="22"/>
        </w:rPr>
      </w:pPr>
      <w:r w:rsidRPr="00141203">
        <w:rPr>
          <w:b w:val="0"/>
          <w:bCs w:val="0"/>
          <w:color w:val="auto"/>
          <w:sz w:val="22"/>
          <w:szCs w:val="22"/>
        </w:rPr>
        <w:t xml:space="preserve">This paper addresses all three difficulties. We ask whether a theme’s signature can be recovered from return </w:t>
      </w:r>
      <w:proofErr w:type="spellStart"/>
      <w:r w:rsidRPr="00141203">
        <w:rPr>
          <w:b w:val="0"/>
          <w:bCs w:val="0"/>
          <w:color w:val="auto"/>
          <w:sz w:val="22"/>
          <w:szCs w:val="22"/>
        </w:rPr>
        <w:t>comovement</w:t>
      </w:r>
      <w:proofErr w:type="spellEnd"/>
      <w:r w:rsidRPr="00141203">
        <w:rPr>
          <w:b w:val="0"/>
          <w:bCs w:val="0"/>
          <w:color w:val="auto"/>
          <w:sz w:val="22"/>
          <w:szCs w:val="22"/>
        </w:rPr>
        <w:t xml:space="preserve">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rsidR="00141203" w:rsidRPr="00141203" w:rsidRDefault="00141203" w:rsidP="00141203">
      <w:pPr>
        <w:pStyle w:val="Heading1"/>
        <w:rPr>
          <w:b w:val="0"/>
          <w:bCs w:val="0"/>
          <w:color w:val="auto"/>
          <w:sz w:val="22"/>
          <w:szCs w:val="22"/>
        </w:rPr>
      </w:pPr>
    </w:p>
    <w:p w:rsidR="00141203" w:rsidRPr="00141203" w:rsidRDefault="00141203" w:rsidP="00141203">
      <w:pPr>
        <w:pStyle w:val="Heading1"/>
        <w:rPr>
          <w:b w:val="0"/>
          <w:bCs w:val="0"/>
          <w:color w:val="auto"/>
          <w:sz w:val="22"/>
          <w:szCs w:val="22"/>
        </w:rPr>
      </w:pPr>
      <w:r w:rsidRPr="00141203">
        <w:rPr>
          <w:b w:val="0"/>
          <w:bCs w:val="0"/>
          <w:color w:val="auto"/>
          <w:sz w:val="22"/>
          <w:szCs w:val="22"/>
        </w:rPr>
        <w:t xml:space="preserve">Our approach, </w:t>
      </w:r>
      <w:proofErr w:type="spellStart"/>
      <w:r w:rsidRPr="00141203">
        <w:rPr>
          <w:b w:val="0"/>
          <w:bCs w:val="0"/>
          <w:color w:val="auto"/>
          <w:sz w:val="22"/>
          <w:szCs w:val="22"/>
        </w:rPr>
        <w:t>ThemeCloner</w:t>
      </w:r>
      <w:proofErr w:type="spellEnd"/>
      <w:r w:rsidRPr="00141203">
        <w:rPr>
          <w:b w:val="0"/>
          <w:bCs w:val="0"/>
          <w:color w:val="auto"/>
          <w:sz w:val="22"/>
          <w:szCs w:val="22"/>
        </w:rPr>
        <w:t xml:space="preserve">, treats thematic ETF returns as labels for a latent factor rather than as lists of constituents. We </w:t>
      </w:r>
      <w:proofErr w:type="spellStart"/>
      <w:r w:rsidRPr="00141203">
        <w:rPr>
          <w:b w:val="0"/>
          <w:bCs w:val="0"/>
          <w:color w:val="auto"/>
          <w:sz w:val="22"/>
          <w:szCs w:val="22"/>
        </w:rPr>
        <w:t>residualize</w:t>
      </w:r>
      <w:proofErr w:type="spellEnd"/>
      <w:r w:rsidRPr="00141203">
        <w:rPr>
          <w:b w:val="0"/>
          <w:bCs w:val="0"/>
          <w:color w:val="auto"/>
          <w:sz w:val="22"/>
          <w:szCs w:val="22"/>
        </w:rPr>
        <w:t xml:space="preserve"> a broad large and </w:t>
      </w:r>
      <w:proofErr w:type="spellStart"/>
      <w:r w:rsidRPr="00141203">
        <w:rPr>
          <w:b w:val="0"/>
          <w:bCs w:val="0"/>
          <w:color w:val="auto"/>
          <w:sz w:val="22"/>
          <w:szCs w:val="22"/>
        </w:rPr>
        <w:t>mid capitalization</w:t>
      </w:r>
      <w:proofErr w:type="spellEnd"/>
      <w:r w:rsidRPr="00141203">
        <w:rPr>
          <w:b w:val="0"/>
          <w:bCs w:val="0"/>
          <w:color w:val="auto"/>
          <w:sz w:val="22"/>
          <w:szCs w:val="22"/>
        </w:rPr>
        <w:t xml:space="preserve"> universe against standard risk factors, extract latent factors from the residual </w:t>
      </w:r>
      <w:proofErr w:type="spellStart"/>
      <w:r w:rsidRPr="00141203">
        <w:rPr>
          <w:b w:val="0"/>
          <w:bCs w:val="0"/>
          <w:color w:val="auto"/>
          <w:sz w:val="22"/>
          <w:szCs w:val="22"/>
        </w:rPr>
        <w:t>comovement</w:t>
      </w:r>
      <w:proofErr w:type="spellEnd"/>
      <w:r w:rsidRPr="00141203">
        <w:rPr>
          <w:b w:val="0"/>
          <w:bCs w:val="0"/>
          <w:color w:val="auto"/>
          <w:sz w:val="22"/>
          <w:szCs w:val="22"/>
        </w:rPr>
        <w:t xml:space="preserve"> using principal component analysis, and identify each theme’s fingerprint by regressing its ETFs onto those factors. We then project a separate small capitalization universe into the same factor space and score each stock by its similarity to each fingerprint, yielding candidate baskets. The method never uses ETF holdings. The ETF price series is the theme definition.</w:t>
      </w:r>
    </w:p>
    <w:p w:rsidR="00141203" w:rsidRPr="00141203" w:rsidRDefault="00141203" w:rsidP="00141203">
      <w:pPr>
        <w:pStyle w:val="Heading1"/>
        <w:rPr>
          <w:b w:val="0"/>
          <w:bCs w:val="0"/>
          <w:color w:val="auto"/>
          <w:sz w:val="22"/>
          <w:szCs w:val="22"/>
        </w:rPr>
      </w:pPr>
    </w:p>
    <w:p w:rsidR="00141203" w:rsidRPr="00141203" w:rsidRDefault="00141203" w:rsidP="00141203">
      <w:pPr>
        <w:pStyle w:val="Heading1"/>
        <w:rPr>
          <w:b w:val="0"/>
          <w:bCs w:val="0"/>
          <w:color w:val="auto"/>
          <w:sz w:val="22"/>
          <w:szCs w:val="22"/>
        </w:rPr>
      </w:pPr>
      <w:r w:rsidRPr="00141203">
        <w:rPr>
          <w:b w:val="0"/>
          <w:bCs w:val="0"/>
          <w:color w:val="auto"/>
          <w:sz w:val="22"/>
          <w:szCs w:val="22"/>
        </w:rPr>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rsidR="00141203" w:rsidRPr="00141203" w:rsidRDefault="00141203" w:rsidP="00141203">
      <w:pPr>
        <w:pStyle w:val="Heading1"/>
        <w:rPr>
          <w:b w:val="0"/>
          <w:bCs w:val="0"/>
          <w:color w:val="auto"/>
          <w:sz w:val="22"/>
          <w:szCs w:val="22"/>
        </w:rPr>
      </w:pPr>
    </w:p>
    <w:p w:rsidR="00141203" w:rsidRPr="00141203" w:rsidRDefault="00141203" w:rsidP="00141203">
      <w:pPr>
        <w:pStyle w:val="Heading1"/>
        <w:rPr>
          <w:b w:val="0"/>
          <w:bCs w:val="0"/>
          <w:color w:val="auto"/>
          <w:sz w:val="22"/>
          <w:szCs w:val="22"/>
        </w:rPr>
      </w:pPr>
      <w:r w:rsidRPr="00141203">
        <w:rPr>
          <w:b w:val="0"/>
          <w:bCs w:val="0"/>
          <w:color w:val="auto"/>
          <w:sz w:val="22"/>
          <w:szCs w:val="22"/>
        </w:rPr>
        <w:lastRenderedPageBreak/>
        <w:t>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sectors do not sit at the top of the coherence distribution.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The fact that a theme spanning multiple sectors can be a tighter covariance cluster than the sector itself is strong evidence that the diagnostic captures real structure missed by standard sector classifications. We develop this result as a validation of the method rather than as a separate claim about thematic investing’s legitimacy.</w:t>
      </w:r>
    </w:p>
    <w:p w:rsidR="00141203" w:rsidRPr="00141203" w:rsidRDefault="00141203" w:rsidP="00141203">
      <w:pPr>
        <w:pStyle w:val="Heading1"/>
        <w:rPr>
          <w:b w:val="0"/>
          <w:bCs w:val="0"/>
          <w:color w:val="auto"/>
          <w:sz w:val="22"/>
          <w:szCs w:val="22"/>
        </w:rPr>
      </w:pPr>
    </w:p>
    <w:p w:rsidR="00141203" w:rsidRDefault="00141203" w:rsidP="00141203">
      <w:pPr>
        <w:pStyle w:val="Heading1"/>
        <w:rPr>
          <w:b w:val="0"/>
          <w:bCs w:val="0"/>
          <w:color w:val="auto"/>
          <w:sz w:val="22"/>
          <w:szCs w:val="22"/>
        </w:rPr>
      </w:pPr>
      <w:r w:rsidRPr="00141203">
        <w:rPr>
          <w:b w:val="0"/>
          <w:bCs w:val="0"/>
          <w:color w:val="auto"/>
          <w:sz w:val="22"/>
          <w:szCs w:val="22"/>
        </w:rPr>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showing that the answer is conditional on factor ownership. Finally, by calibrating the diagnostic against GICS controls, we document that coherence depends on regime, which validates that the method resolves structure finer than standard sector classification.</w:t>
      </w:r>
    </w:p>
    <w:p w:rsidR="00C77008" w:rsidRDefault="009D0D51" w:rsidP="00141203">
      <w:pPr>
        <w:pStyle w:val="Heading1"/>
      </w:pPr>
      <w:r>
        <w:t>2. Related Work</w:t>
      </w:r>
    </w:p>
    <w:p w:rsidR="00C77008" w:rsidRDefault="009D0D51">
      <w:pPr>
        <w:pStyle w:val="Heading2"/>
      </w:pPr>
      <w:r>
        <w:t>2.1 Latent Factor Models of Returns</w:t>
      </w:r>
    </w:p>
    <w:p w:rsidR="00765E95" w:rsidRDefault="00765E95">
      <w:pPr>
        <w:pStyle w:val="Heading2"/>
        <w:rPr>
          <w:b w:val="0"/>
          <w:bCs w:val="0"/>
          <w:color w:val="auto"/>
          <w:sz w:val="22"/>
          <w:szCs w:val="22"/>
        </w:rPr>
      </w:pPr>
      <w:r w:rsidRPr="00765E95">
        <w:rPr>
          <w:b w:val="0"/>
          <w:bCs w:val="0"/>
          <w:color w:val="auto"/>
          <w:sz w:val="22"/>
          <w:szCs w:val="22"/>
        </w:rPr>
        <w:t xml:space="preserve">Our factor extraction step builds on the literature that estimates latent asset pricing factors statistically rather than specifying them in advance. The risk premium PCA (RP-PCA) framework of </w:t>
      </w:r>
      <w:proofErr w:type="spellStart"/>
      <w:r w:rsidRPr="00765E95">
        <w:rPr>
          <w:b w:val="0"/>
          <w:bCs w:val="0"/>
          <w:color w:val="auto"/>
          <w:sz w:val="22"/>
          <w:szCs w:val="22"/>
        </w:rPr>
        <w:t>Lettau</w:t>
      </w:r>
      <w:proofErr w:type="spellEnd"/>
      <w:r w:rsidRPr="00765E95">
        <w:rPr>
          <w:b w:val="0"/>
          <w:bCs w:val="0"/>
          <w:color w:val="auto"/>
          <w:sz w:val="22"/>
          <w:szCs w:val="22"/>
        </w:rPr>
        <w:t xml:space="preserve"> and </w:t>
      </w:r>
      <w:proofErr w:type="spellStart"/>
      <w:r w:rsidRPr="00765E95">
        <w:rPr>
          <w:b w:val="0"/>
          <w:bCs w:val="0"/>
          <w:color w:val="auto"/>
          <w:sz w:val="22"/>
          <w:szCs w:val="22"/>
        </w:rPr>
        <w:t>Pelger</w:t>
      </w:r>
      <w:proofErr w:type="spellEnd"/>
      <w:r w:rsidRPr="00765E95">
        <w:rPr>
          <w:b w:val="0"/>
          <w:bCs w:val="0"/>
          <w:color w:val="auto"/>
          <w:sz w:val="22"/>
          <w:szCs w:val="22"/>
        </w:rPr>
        <w:t xml:space="preserve"> generalizes principal component analysis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As we show in Section 3.3, however, the specific signal RP-PCA uses to identify weak factors is one our discovery objective does not use. In our setting, the method therefore reduces to ordinary PCA applied to a carefully constructed residual covariance.</w:t>
      </w:r>
    </w:p>
    <w:p w:rsidR="00C77008" w:rsidRDefault="009D0D51">
      <w:pPr>
        <w:pStyle w:val="Heading2"/>
      </w:pPr>
      <w:r>
        <w:t>2.2 Text-Based and Classification-Free Company Grouping</w:t>
      </w:r>
    </w:p>
    <w:p w:rsidR="00C77008" w:rsidRDefault="00765E95">
      <w:pPr>
        <w:spacing w:after="160" w:line="276" w:lineRule="auto"/>
      </w:pPr>
      <w:r w:rsidRPr="00765E95">
        <w:t xml:space="preserve">A related literature derives company relationships from sources other than returns. Industry networks built from regulatory filing text produce peer groups that differ from fixed classifications such as SIC or GICS, and recent work learns company </w:t>
      </w:r>
      <w:proofErr w:type="spellStart"/>
      <w:r w:rsidRPr="00765E95">
        <w:t>embeddings</w:t>
      </w:r>
      <w:proofErr w:type="spellEnd"/>
      <w:r w:rsidRPr="00765E95">
        <w:t xml:space="preserve"> from disclosures that recover industry and similarity structure. A complementary approach derives themes from disclosure language rather than return </w:t>
      </w:r>
      <w:proofErr w:type="spellStart"/>
      <w:r w:rsidRPr="00765E95">
        <w:t>comovement</w:t>
      </w:r>
      <w:proofErr w:type="spellEnd"/>
      <w:r w:rsidRPr="00765E95">
        <w:t xml:space="preserve"> and tests whether theme membership based on language anticipates later ETF inclusion (Amini et al., working paper). These approaches share our goal of moving beyond fixed taxonomies, but they operate on text. </w:t>
      </w:r>
      <w:proofErr w:type="spellStart"/>
      <w:r w:rsidRPr="00765E95">
        <w:lastRenderedPageBreak/>
        <w:t>ThemeCloner</w:t>
      </w:r>
      <w:proofErr w:type="spellEnd"/>
      <w:r w:rsidRPr="00765E95">
        <w:t xml:space="preserve"> operates on return covariance. The two sources provide complementary signals for the same underlying question: what economically groups firms.</w:t>
      </w:r>
    </w:p>
    <w:p w:rsidR="00C77008" w:rsidRDefault="009D0D51">
      <w:pPr>
        <w:pStyle w:val="Heading2"/>
      </w:pPr>
      <w:r>
        <w:t>2.3 Thematic Investing and Its Coherence</w:t>
      </w:r>
    </w:p>
    <w:p w:rsidR="00C77008" w:rsidRDefault="00765E95">
      <w:pPr>
        <w:spacing w:after="160"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proofErr w:type="spellStart"/>
      <w:r w:rsidRPr="00765E95">
        <w:t>decorrelating</w:t>
      </w:r>
      <w:proofErr w:type="spellEnd"/>
      <w:r w:rsidRPr="00765E95">
        <w:t xml:space="preserve"> from adjacent sectors. This is the fundamental data counterpart to the statistical separation we measure.</w:t>
      </w:r>
    </w:p>
    <w:p w:rsidR="00C77008" w:rsidRDefault="009D0D51">
      <w:pPr>
        <w:pStyle w:val="Heading2"/>
      </w:pPr>
      <w:r>
        <w:t>2.4 Momentum and the Thematic Critique</w:t>
      </w:r>
    </w:p>
    <w:p w:rsidR="00C77008" w:rsidRDefault="00765E95">
      <w:pPr>
        <w:spacing w:after="160" w:line="276" w:lineRule="auto"/>
      </w:pPr>
      <w:r w:rsidRPr="00765E95">
        <w:t>The claim that thematic investing is repackaged momentum has not, to our knowledge, been tested directly. The most relevant evidence is that momentum is not a standalone factor, but 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bookmarkStart w:id="0" w:name="_GoBack"/>
      <w:bookmarkEnd w:id="0"/>
      <w:r w:rsidR="009D0D51">
        <w:t>.</w:t>
      </w:r>
    </w:p>
    <w:p w:rsidR="00C77008" w:rsidRDefault="009D0D51">
      <w:pPr>
        <w:pStyle w:val="Heading1"/>
      </w:pPr>
      <w:r>
        <w:t>3. Methodology</w:t>
      </w:r>
    </w:p>
    <w:p w:rsidR="00C77008" w:rsidRDefault="009D0D51">
      <w:pPr>
        <w:spacing w:after="160" w:line="276" w:lineRule="auto"/>
      </w:pPr>
      <w:proofErr w:type="spellStart"/>
      <w:r>
        <w:t>ThemeCloner</w:t>
      </w:r>
      <w:proofErr w:type="spellEnd"/>
      <w:r>
        <w:t xml:space="preserve"> extracts the statistical signature of an investment theme from the return co-movement of thematic exchange-traded funds (ETFs), then projects that signature onto a separate, unexplored universe of stocks to identify names with genuine thematic exposure. The method is holdings-free by construction: ETF price series are used as theme labels, and no constituent data is required at any stage. This section describes the three-universe architecture, the </w:t>
      </w:r>
      <w:proofErr w:type="spellStart"/>
      <w:r>
        <w:t>residualization</w:t>
      </w:r>
      <w:proofErr w:type="spellEnd"/>
      <w:r>
        <w:t xml:space="preserve"> and factor-extraction steps, and the diagnostics that determine when a theme is recoverable.</w:t>
      </w:r>
    </w:p>
    <w:p w:rsidR="00C77008" w:rsidRDefault="009D0D51">
      <w:pPr>
        <w:pStyle w:val="Heading2"/>
      </w:pPr>
      <w:r>
        <w:t>3.1 Three-Universe Architecture</w:t>
      </w:r>
    </w:p>
    <w:p w:rsidR="00C77008" w:rsidRDefault="009D0D51">
      <w:pPr>
        <w:spacing w:after="160" w:line="276" w:lineRule="auto"/>
      </w:pPr>
      <w:r>
        <w:t>The pipeline separates three distinct roles that are often conflated in thematic analysis:</w:t>
      </w:r>
    </w:p>
    <w:p w:rsidR="00C77008" w:rsidRDefault="009D0D51">
      <w:pPr>
        <w:pStyle w:val="ListParagraph"/>
        <w:numPr>
          <w:ilvl w:val="0"/>
          <w:numId w:val="2"/>
        </w:numPr>
        <w:spacing w:after="80" w:line="276" w:lineRule="auto"/>
      </w:pPr>
      <w:r>
        <w:t>Theme-definition universe (thematic ETFs). Each theme is represented by two to three US-listed thematic ETFs. Their returns define the theme and serve as the out-of-sample validation benchmark. Holdings are never used.</w:t>
      </w:r>
    </w:p>
    <w:p w:rsidR="00C77008" w:rsidRDefault="009D0D51">
      <w:pPr>
        <w:pStyle w:val="ListParagraph"/>
        <w:numPr>
          <w:ilvl w:val="0"/>
          <w:numId w:val="2"/>
        </w:numPr>
        <w:spacing w:after="80" w:line="276" w:lineRule="auto"/>
      </w:pPr>
      <w:r>
        <w:t xml:space="preserve">Covariance universe (large and </w:t>
      </w:r>
      <w:proofErr w:type="spellStart"/>
      <w:r>
        <w:t>mid cap</w:t>
      </w:r>
      <w:proofErr w:type="spellEnd"/>
      <w:r>
        <w:t xml:space="preserve">). The cross-section on which latent factors are estimated. We use US-listed stocks above a USD 1 billion market-capitalization floor (approximately 2,500 names), restricted to a single </w:t>
      </w:r>
      <w:proofErr w:type="spellStart"/>
      <w:r>
        <w:t>timezone</w:t>
      </w:r>
      <w:proofErr w:type="spellEnd"/>
      <w:r>
        <w:t xml:space="preserve"> to avoid foreign-exchange and price-snap timing artifacts.</w:t>
      </w:r>
    </w:p>
    <w:p w:rsidR="00C77008" w:rsidRDefault="009D0D51">
      <w:pPr>
        <w:pStyle w:val="ListParagraph"/>
        <w:numPr>
          <w:ilvl w:val="0"/>
          <w:numId w:val="2"/>
        </w:numPr>
        <w:spacing w:after="80" w:line="276" w:lineRule="auto"/>
      </w:pPr>
      <w:r>
        <w:t xml:space="preserve">Target universe (small cap). The universe in which candidates are sought: NASDAQ and NYSE names below the covariance-universe floor, metadata-filtered, approximately </w:t>
      </w:r>
      <w:r>
        <w:lastRenderedPageBreak/>
        <w:t>2,100 names. This is where the method hunts for previously unlabeled thematic exposure.</w:t>
      </w:r>
    </w:p>
    <w:p w:rsidR="00C77008" w:rsidRDefault="009D0D51">
      <w:pPr>
        <w:spacing w:after="160" w:line="276" w:lineRule="auto"/>
      </w:pPr>
      <w:r>
        <w:t>Keeping these universes distinct is essential. The covariance universe must be broad and clean enough that themes appear as genuine latent factors; the target universe must be disjoint so that discovered names are genuinely new rather than re-identified ETF constituents.</w:t>
      </w:r>
    </w:p>
    <w:p w:rsidR="00C77008" w:rsidRDefault="009D0D51">
      <w:pPr>
        <w:pStyle w:val="Heading2"/>
      </w:pPr>
      <w:r>
        <w:t xml:space="preserve">3.2 </w:t>
      </w:r>
      <w:proofErr w:type="spellStart"/>
      <w:r>
        <w:t>Residualization</w:t>
      </w:r>
      <w:proofErr w:type="spellEnd"/>
    </w:p>
    <w:p w:rsidR="00C77008" w:rsidRDefault="009D0D51">
      <w:pPr>
        <w:spacing w:after="160" w:line="276" w:lineRule="auto"/>
      </w:pPr>
      <w:r>
        <w:t xml:space="preserve">Raw returns are dominated by market, size, value, and momentum exposures. Running factor extraction on raw returns causes any high-beta or high-momentum stock to load on every theme, producing pervasive contamination. We therefore </w:t>
      </w:r>
      <w:proofErr w:type="spellStart"/>
      <w:r>
        <w:t>residualize</w:t>
      </w:r>
      <w:proofErr w:type="spellEnd"/>
      <w:r>
        <w:t xml:space="preserve"> all return series against the </w:t>
      </w:r>
      <w:proofErr w:type="spellStart"/>
      <w:r>
        <w:t>Fama</w:t>
      </w:r>
      <w:proofErr w:type="spellEnd"/>
      <w:r>
        <w:t>-French five factors (optionally augmented with the momentum factor and with commodity-sector controls; see Section 4) before factor extraction. The residual is the component of each stock's return that standard risk factors cannot explain.</w:t>
      </w:r>
    </w:p>
    <w:p w:rsidR="00C77008" w:rsidRDefault="009D0D51">
      <w:pPr>
        <w:spacing w:after="160" w:line="276" w:lineRule="auto"/>
      </w:pPr>
      <w:r>
        <w:t xml:space="preserve">Residuals are then </w:t>
      </w:r>
      <w:proofErr w:type="spellStart"/>
      <w:r>
        <w:t>winsorized</w:t>
      </w:r>
      <w:proofErr w:type="spellEnd"/>
      <w:r>
        <w:t xml:space="preserve"> at the 1st and 99th percentiles and standardized to unit volatility. This converts the subsequent decomposition from a covariance to a correlation analysis, preventing any single high-volatility name from dominating the extracted factors. This standardization step proved decisive: without it, factors were driven by individual volatile micro-caps; with it, every factor became an interpretable sector or style axis.</w:t>
      </w:r>
    </w:p>
    <w:p w:rsidR="00C77008" w:rsidRDefault="009D0D51">
      <w:pPr>
        <w:pStyle w:val="Heading2"/>
      </w:pPr>
      <w:r>
        <w:t>3.3 Factor Extraction</w:t>
      </w:r>
    </w:p>
    <w:p w:rsidR="00765E95" w:rsidRPr="00765E95" w:rsidRDefault="00765E95" w:rsidP="00765E95">
      <w:pPr>
        <w:pStyle w:val="Heading2"/>
        <w:rPr>
          <w:b w:val="0"/>
          <w:bCs w:val="0"/>
          <w:color w:val="auto"/>
          <w:sz w:val="22"/>
          <w:szCs w:val="22"/>
        </w:rPr>
      </w:pPr>
      <w:r w:rsidRPr="00765E95">
        <w:rPr>
          <w:b w:val="0"/>
          <w:bCs w:val="0"/>
          <w:color w:val="auto"/>
          <w:sz w:val="22"/>
          <w:szCs w:val="22"/>
        </w:rPr>
        <w:t>We extract K = 15 latent factors from the standardized residuals of the covariance universe. Although risk-premium PCA (RP-PCA) is the natural point of departure for recovering weak factors such as themes (Section 2.1), we show that for our objective it reduces to ordinary principal component analysis (PCA), and we adopt PCA accordingly.</w:t>
      </w:r>
    </w:p>
    <w:p w:rsidR="00765E95" w:rsidRPr="00765E95" w:rsidRDefault="00765E95" w:rsidP="00765E95">
      <w:pPr>
        <w:pStyle w:val="Heading2"/>
        <w:rPr>
          <w:b w:val="0"/>
          <w:bCs w:val="0"/>
          <w:color w:val="auto"/>
          <w:sz w:val="22"/>
          <w:szCs w:val="22"/>
        </w:rPr>
      </w:pPr>
      <w:r w:rsidRPr="00765E95">
        <w:rPr>
          <w:b w:val="0"/>
          <w:bCs w:val="0"/>
          <w:color w:val="auto"/>
          <w:sz w:val="22"/>
          <w:szCs w:val="22"/>
        </w:rPr>
        <w:t xml:space="preserve">The reduction is structural, and it follows from a distinction between two objectives. RP-PCA surfaces weak factors by exploiting their mean returns: its penalty rewards factors that also help price the cross-section, so a low-variance factor that carries a risk premium is pulled forward. But theme discovery is not a pricing question. We ask whether a theme corresponds to a distinct pattern of co-movement, not whether it earns a premium, and to isolate that co-movement we </w:t>
      </w:r>
      <w:proofErr w:type="spellStart"/>
      <w:r w:rsidRPr="00765E95">
        <w:rPr>
          <w:b w:val="0"/>
          <w:bCs w:val="0"/>
          <w:color w:val="auto"/>
          <w:sz w:val="22"/>
          <w:szCs w:val="22"/>
        </w:rPr>
        <w:t>residualize</w:t>
      </w:r>
      <w:proofErr w:type="spellEnd"/>
      <w:r w:rsidRPr="00765E95">
        <w:rPr>
          <w:b w:val="0"/>
          <w:bCs w:val="0"/>
          <w:color w:val="auto"/>
          <w:sz w:val="22"/>
          <w:szCs w:val="22"/>
        </w:rPr>
        <w:t xml:space="preserve"> returns against standard risk factors and work with the mean-zero residuals. The very quantity RP-PCA relies upon — the cross-sectional mean return — is therefore the quantity our design deliberately removes. With mean-zero residuals the penalty term has nothing to act on, it contributes zero, and RP-PCA collapses exactly to PCA. We confirmed this empirically: theme detectability is invariant to the RP-PCA penalty weight across a range spanning two orders of magnitude.</w:t>
      </w:r>
    </w:p>
    <w:p w:rsidR="00765E95" w:rsidRPr="00765E95" w:rsidRDefault="00765E95" w:rsidP="00765E95">
      <w:pPr>
        <w:pStyle w:val="Heading2"/>
        <w:rPr>
          <w:b w:val="0"/>
          <w:bCs w:val="0"/>
          <w:color w:val="auto"/>
          <w:sz w:val="22"/>
          <w:szCs w:val="22"/>
        </w:rPr>
      </w:pPr>
      <w:r w:rsidRPr="00765E95">
        <w:rPr>
          <w:b w:val="0"/>
          <w:bCs w:val="0"/>
          <w:color w:val="auto"/>
          <w:sz w:val="22"/>
          <w:szCs w:val="22"/>
        </w:rPr>
        <w:t xml:space="preserve">This raises an immediate question — if themes are weak factors, does ordinary PCA not risk burying them beneath high-variance components, which is the very problem RP-PCA was meant to solve? The answer is that </w:t>
      </w:r>
      <w:proofErr w:type="spellStart"/>
      <w:r w:rsidRPr="00765E95">
        <w:rPr>
          <w:b w:val="0"/>
          <w:bCs w:val="0"/>
          <w:color w:val="auto"/>
          <w:sz w:val="22"/>
          <w:szCs w:val="22"/>
        </w:rPr>
        <w:t>residualization</w:t>
      </w:r>
      <w:proofErr w:type="spellEnd"/>
      <w:r w:rsidRPr="00765E95">
        <w:rPr>
          <w:b w:val="0"/>
          <w:bCs w:val="0"/>
          <w:color w:val="auto"/>
          <w:sz w:val="22"/>
          <w:szCs w:val="22"/>
        </w:rPr>
        <w:t xml:space="preserve"> performs that role through a different mechanism. By projecting out the </w:t>
      </w:r>
      <w:proofErr w:type="spellStart"/>
      <w:r w:rsidRPr="00765E95">
        <w:rPr>
          <w:b w:val="0"/>
          <w:bCs w:val="0"/>
          <w:color w:val="auto"/>
          <w:sz w:val="22"/>
          <w:szCs w:val="22"/>
        </w:rPr>
        <w:t>Fama</w:t>
      </w:r>
      <w:proofErr w:type="spellEnd"/>
      <w:r w:rsidRPr="00765E95">
        <w:rPr>
          <w:b w:val="0"/>
          <w:bCs w:val="0"/>
          <w:color w:val="auto"/>
          <w:sz w:val="22"/>
          <w:szCs w:val="22"/>
        </w:rPr>
        <w:t xml:space="preserve">-French factors and the dominant market and style variation before the decomposition, we remove the high-variance structure that would otherwise dominate the leading components, so the weak theme factors are no longer buried when PCA is applied to what remains. In short, for factor pricing RP-PCA's premium penalty carries information and improves on PCA; for factor discovery that information must be discarded, and </w:t>
      </w:r>
      <w:r w:rsidRPr="00765E95">
        <w:rPr>
          <w:b w:val="0"/>
          <w:bCs w:val="0"/>
          <w:color w:val="auto"/>
          <w:sz w:val="22"/>
          <w:szCs w:val="22"/>
        </w:rPr>
        <w:lastRenderedPageBreak/>
        <w:t xml:space="preserve">pre-whitening by </w:t>
      </w:r>
      <w:proofErr w:type="spellStart"/>
      <w:r w:rsidRPr="00765E95">
        <w:rPr>
          <w:b w:val="0"/>
          <w:bCs w:val="0"/>
          <w:color w:val="auto"/>
          <w:sz w:val="22"/>
          <w:szCs w:val="22"/>
        </w:rPr>
        <w:t>residualization</w:t>
      </w:r>
      <w:proofErr w:type="spellEnd"/>
      <w:r w:rsidRPr="00765E95">
        <w:rPr>
          <w:b w:val="0"/>
          <w:bCs w:val="0"/>
          <w:color w:val="auto"/>
          <w:sz w:val="22"/>
          <w:szCs w:val="22"/>
        </w:rPr>
        <w:t xml:space="preserve"> — not the penalty — is what surfaces the weak factors. PCA on standardized residuals is thus the appropriate tool.</w:t>
      </w:r>
    </w:p>
    <w:p w:rsidR="00765E95" w:rsidRDefault="00765E95" w:rsidP="00765E95">
      <w:pPr>
        <w:pStyle w:val="Heading2"/>
        <w:rPr>
          <w:b w:val="0"/>
          <w:bCs w:val="0"/>
          <w:color w:val="auto"/>
          <w:sz w:val="22"/>
          <w:szCs w:val="22"/>
        </w:rPr>
      </w:pPr>
      <w:r w:rsidRPr="00765E95">
        <w:rPr>
          <w:b w:val="0"/>
          <w:bCs w:val="0"/>
          <w:color w:val="auto"/>
          <w:sz w:val="22"/>
          <w:szCs w:val="22"/>
        </w:rPr>
        <w:t>The choice of K = 15 is justified by a factor-count sweep (Appendix): each label's distinctiveness is essentially invariant to K over the range tested, with the sole exception of one theme whose dominant factor only resolves at K of fifteen or above, so K = 15 is the smallest count that resolves all themes at no cost to the others.</w:t>
      </w:r>
    </w:p>
    <w:p w:rsidR="00C77008" w:rsidRDefault="009D0D51" w:rsidP="00765E95">
      <w:pPr>
        <w:pStyle w:val="Heading2"/>
      </w:pPr>
      <w:r>
        <w:t>3.4 Theme Fingerprints and Projection</w:t>
      </w:r>
    </w:p>
    <w:p w:rsidR="00C77008" w:rsidRDefault="009D0D51">
      <w:pPr>
        <w:spacing w:after="160" w:line="276" w:lineRule="auto"/>
      </w:pPr>
      <w:r>
        <w:t>Each theme's ETF returns are residualized identically and regressed on the K extracted factors, yielding a K-dimensional loading vector — the theme's fingerprint in factor space. Per theme, the fingerprint is the centroid of its constituent ETFs' loading vectors, which averages out individual ETF construction idiosyncrasies. Every stock in the target universe is then projected into the same factor space, and scored by cosine similarity between its loading vector and each theme fingerprint. The top-ranked names per theme form the candidate basket.</w:t>
      </w:r>
    </w:p>
    <w:p w:rsidR="00C77008" w:rsidRDefault="009D0D51">
      <w:pPr>
        <w:pStyle w:val="Heading2"/>
      </w:pPr>
      <w:r>
        <w:t>3.5 Diagnostics: Coherence and Distinctiveness</w:t>
      </w:r>
    </w:p>
    <w:p w:rsidR="00C77008" w:rsidRDefault="009D0D51">
      <w:pPr>
        <w:spacing w:after="160" w:line="276" w:lineRule="auto"/>
      </w:pPr>
      <w:r>
        <w:t xml:space="preserve">Two diagnostics, computed before basket construction, determine whether a theme is recoverable. Coherence measures how concentrated a theme's fingerprint is across factors, computed as the average of three normalized concentration metrics (a concentration ratio, a </w:t>
      </w:r>
      <w:proofErr w:type="spellStart"/>
      <w:r>
        <w:t>Herfindahl</w:t>
      </w:r>
      <w:proofErr w:type="spellEnd"/>
      <w:r>
        <w:t xml:space="preserve"> index, and an entropy-based effective-factor count). Distinctiveness measures whether a theme uniquely owns its dominant factor or shares it with other themes. The accompanying factor-sharing map records, for each factor, which themes load on it most strongly. As shown in Section 4, distinctiveness rather than coherence is the operative criterion for clean baskets.</w:t>
      </w:r>
    </w:p>
    <w:p w:rsidR="00C77008" w:rsidRDefault="009D0D51">
      <w:pPr>
        <w:pStyle w:val="Heading2"/>
      </w:pPr>
      <w:r>
        <w:t>3.6 Validation</w:t>
      </w:r>
    </w:p>
    <w:p w:rsidR="00C77008" w:rsidRDefault="009D0D51">
      <w:pPr>
        <w:spacing w:after="160" w:line="276" w:lineRule="auto"/>
      </w:pPr>
      <w:r>
        <w:t>Candidate baskets are validated out-of-sample against the theme ETFs along two axes. The first is correlation: whether the equal-weighted candidate basket co-moves with the theme ETF. The second is a beta decomposition: regressing the basket return on the ETF return to separate co-movement (correlation) from amplitude (beta), and recovering an annualized alpha. This two-axis validation distinguishes baskets that track the theme at full amplitude from those that are muted, and isolates the effect of mega-cap exclusion from genuine signal attenuation.</w:t>
      </w:r>
    </w:p>
    <w:p w:rsidR="00C77008" w:rsidRDefault="009D0D51">
      <w:pPr>
        <w:pStyle w:val="Heading2"/>
      </w:pPr>
      <w:r>
        <w:t>3.7 Data and Proxies</w:t>
      </w:r>
    </w:p>
    <w:p w:rsidR="00C77008" w:rsidRDefault="009D0D51">
      <w:pPr>
        <w:spacing w:after="160" w:line="276" w:lineRule="auto"/>
      </w:pPr>
      <w:r>
        <w:t xml:space="preserve">Several inputs are </w:t>
      </w:r>
      <w:proofErr w:type="spellStart"/>
      <w:r>
        <w:t>proxied</w:t>
      </w:r>
      <w:proofErr w:type="spellEnd"/>
      <w:r>
        <w:t xml:space="preserve"> owing to data-access constraints; each is noted for reproducibility. MSCI ACWI constituents require a vendor license and are </w:t>
      </w:r>
      <w:proofErr w:type="spellStart"/>
      <w:r>
        <w:t>proxied</w:t>
      </w:r>
      <w:proofErr w:type="spellEnd"/>
      <w:r>
        <w:t xml:space="preserve"> by free index lists, ultimately restricted to US listings. ETF constituent holdings are not used at all — ETF price series serve as theme labels, which is the method's holdings-free feature rather than a limitation. The Russell 2000 constituent list requires an FTSE Russell license and is </w:t>
      </w:r>
      <w:proofErr w:type="spellStart"/>
      <w:r>
        <w:t>proxied</w:t>
      </w:r>
      <w:proofErr w:type="spellEnd"/>
      <w:r>
        <w:t xml:space="preserve"> by a metadata-filtered NASDAQ and NYSE cross-section. There is no canonical commodity factor library; we proxy the </w:t>
      </w:r>
      <w:proofErr w:type="spellStart"/>
      <w:r>
        <w:t>Bakshi</w:t>
      </w:r>
      <w:proofErr w:type="spellEnd"/>
      <w:r>
        <w:t>-Gao-Rossi commodity factors with liquid commodity-sector ETFs.</w:t>
      </w:r>
    </w:p>
    <w:p w:rsidR="00C77008" w:rsidRDefault="009D0D51">
      <w:pPr>
        <w:pStyle w:val="Heading1"/>
      </w:pPr>
      <w:r>
        <w:t>4. Results</w:t>
      </w:r>
    </w:p>
    <w:p w:rsidR="00C77008" w:rsidRDefault="009D0D51">
      <w:pPr>
        <w:spacing w:after="160" w:line="276" w:lineRule="auto"/>
      </w:pPr>
      <w:r>
        <w:lastRenderedPageBreak/>
        <w:t>We organize the results as a sequence of findings, each building on the previous. We report results for eleven cross-sector themes — Robotics &amp; AI, AI Infrastructure, Clean Energy, Cybersecurity, Defense, Fintech, US Infrastructure, Agribusiness, Critical Minerals, Water, and Timber &amp; Forestry — together with six calibration controls: three GICS sectors (Financials, Technology, Energy) and three subsectors (Banks, Software, Biotech). Themes are admitted only if their defining ETF ensemble spans multiple GICS sectors; single-industry funds such as biotech ETFs are excluded as themes and repurposed as subsector controls. This admissibility rule is applied as an ex-ante filter, not a post-hoc selection.</w:t>
      </w:r>
    </w:p>
    <w:p w:rsidR="00C77008" w:rsidRDefault="009D0D51">
      <w:pPr>
        <w:pStyle w:val="Heading2"/>
      </w:pPr>
      <w:r>
        <w:t>4.1 Themes Are Weak but Recoverable Latent Factors</w:t>
      </w:r>
    </w:p>
    <w:p w:rsidR="00C77008" w:rsidRDefault="009D0D51">
      <w:pPr>
        <w:spacing w:after="160" w:line="276" w:lineRule="auto"/>
      </w:pPr>
      <w:r>
        <w:t xml:space="preserve">After </w:t>
      </w:r>
      <w:proofErr w:type="spellStart"/>
      <w:r>
        <w:t>residualization</w:t>
      </w:r>
      <w:proofErr w:type="spellEnd"/>
      <w:r>
        <w:t xml:space="preserve"> and standardization, every extracted factor corresponds to an interpretable sector or style axis (for example, utilities versus semiconductors, banks versus energy, REITs versus homebuilders). Themes appear as latent factors with best-single-factor R-squared values in the range of approximately 0.08 to 0.21. These are weak factors by construction — they explain a modest share of even the residual variance — but they are clearly present and economically interpretable, not statistical artifacts.</w:t>
      </w:r>
    </w:p>
    <w:p w:rsidR="00C77008" w:rsidRDefault="009D0D51">
      <w:pPr>
        <w:pStyle w:val="Heading2"/>
      </w:pPr>
      <w:r>
        <w:t>4.2 Clean Factors Require a Clean Universe</w:t>
      </w:r>
    </w:p>
    <w:p w:rsidR="00C77008" w:rsidRDefault="009D0D51">
      <w:pPr>
        <w:spacing w:after="160" w:line="276" w:lineRule="auto"/>
      </w:pPr>
      <w:r>
        <w:t xml:space="preserve">This finding is methodological but consequential. Before imposing the market-capitalization floor and standardization, extracted factors were dominated by individual volatile micro-caps — in one instance a single stock carried a loading of 0.89 — and by penny and cryptocurrency-linked names. Two interventions were decisive: a USD 1 billion floor on the covariance universe, and </w:t>
      </w:r>
      <w:proofErr w:type="spellStart"/>
      <w:r>
        <w:t>winsorization</w:t>
      </w:r>
      <w:proofErr w:type="spellEnd"/>
      <w:r>
        <w:t xml:space="preserve"> plus unit-volatility standardization of residuals. After both, the factor structure became cleanly interpretable. Statistical theme detection is only as reliable as the cleanliness of the covariance universe on which factors are estimated.</w:t>
      </w:r>
    </w:p>
    <w:p w:rsidR="00C77008" w:rsidRDefault="009D0D51">
      <w:pPr>
        <w:pStyle w:val="Heading2"/>
      </w:pPr>
      <w:r>
        <w:t>4.3 A Theme Is Tradeable If and Only If It Uniquely Owns a Factor</w:t>
      </w:r>
    </w:p>
    <w:p w:rsidR="00C77008" w:rsidRDefault="009D0D51">
      <w:pPr>
        <w:spacing w:after="160" w:line="276" w:lineRule="auto"/>
      </w:pPr>
      <w:r>
        <w:t>This is the central finding. Coherence alone does not predict basket quality — a theme can be highly concentrated yet produce contaminated baskets if its dominant factor is shared. The operative criterion is distinctiveness: a theme produces clean, correct baskets when it uniquely owns a distinct latent factor, and suffers mutual contamination when several themes load on the same factor. The factor-sharing map below, from the baseline specification, makes the mechanism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700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Factor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Themes loading on it (baseline)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factor_1</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AI Infrastructure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factor_3</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Fintech, Agribusiness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factor_4</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Infrastructure, Robotics &amp; AI, Clean Energy, Critical Minerals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factor_5</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Defense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factor_6</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Cybersecurity (unique)</w:t>
            </w:r>
          </w:p>
        </w:tc>
      </w:tr>
    </w:tbl>
    <w:p w:rsidR="00C77008" w:rsidRDefault="009D0D51">
      <w:pPr>
        <w:spacing w:before="60" w:after="200"/>
      </w:pPr>
      <w:r>
        <w:rPr>
          <w:i/>
          <w:iCs/>
          <w:color w:val="555555"/>
          <w:sz w:val="18"/>
          <w:szCs w:val="18"/>
        </w:rPr>
        <w:t xml:space="preserve">Table 1. Factor-sharing map, baseline specification (FF5 </w:t>
      </w:r>
      <w:proofErr w:type="spellStart"/>
      <w:r>
        <w:rPr>
          <w:i/>
          <w:iCs/>
          <w:color w:val="555555"/>
          <w:sz w:val="18"/>
          <w:szCs w:val="18"/>
        </w:rPr>
        <w:t>residualization</w:t>
      </w:r>
      <w:proofErr w:type="spellEnd"/>
      <w:r>
        <w:rPr>
          <w:i/>
          <w:iCs/>
          <w:color w:val="555555"/>
          <w:sz w:val="18"/>
          <w:szCs w:val="18"/>
        </w:rPr>
        <w:t>, no commodity controls). Themes that uniquely own a factor (AI Infrastructure, Defense, Cybersecurity) yield clean baskets; the four themes sharing factor_4 mutually contaminate one another.</w:t>
      </w:r>
    </w:p>
    <w:p w:rsidR="00C77008" w:rsidRDefault="00212221">
      <w:pPr>
        <w:spacing w:after="160"/>
      </w:pPr>
      <w:r w:rsidRPr="00212221">
        <w:rPr>
          <w:noProof/>
        </w:rPr>
        <w:lastRenderedPageBreak/>
        <w:drawing>
          <wp:inline distT="0" distB="0" distL="0" distR="0">
            <wp:extent cx="5943600" cy="2701636"/>
            <wp:effectExtent l="0" t="0" r="0" b="3810"/>
            <wp:docPr id="31" name="Picture 31" descr="C:\Users\aamin\Thematic Engine\outputs\fig_theme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amin\Thematic Engine\outputs\fig_theme_coherenc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1636"/>
                    </a:xfrm>
                    <a:prstGeom prst="rect">
                      <a:avLst/>
                    </a:prstGeom>
                    <a:noFill/>
                    <a:ln>
                      <a:noFill/>
                    </a:ln>
                  </pic:spPr>
                </pic:pic>
              </a:graphicData>
            </a:graphic>
          </wp:inline>
        </w:drawing>
      </w:r>
    </w:p>
    <w:p w:rsidR="00C77008" w:rsidRDefault="00212221">
      <w:pPr>
        <w:spacing w:after="160"/>
      </w:pPr>
      <w:r w:rsidRPr="00212221">
        <w:rPr>
          <w:noProof/>
        </w:rPr>
        <w:drawing>
          <wp:inline distT="0" distB="0" distL="0" distR="0">
            <wp:extent cx="5943600" cy="2971800"/>
            <wp:effectExtent l="0" t="0" r="0" b="0"/>
            <wp:docPr id="32" name="Picture 32" descr="C:\Users\aamin\Thematic Engine\outputs\fig_factor_interpre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amin\Thematic Engine\outputs\fig_factor_interpret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C77008" w:rsidRDefault="009D0D51">
      <w:pPr>
        <w:spacing w:after="160" w:line="276" w:lineRule="auto"/>
      </w:pPr>
      <w:r>
        <w:t>The themes that uniquely own a factor — AI Infrastructure, Defense, and Cybersecurity — produce the cleanest baskets. The four themes piling onto factor_4 (a broad cyclical and materials axis) bleed into one another: Clean Energy baskets fill with mining names because Critical Minerals shares its factor.</w:t>
      </w:r>
    </w:p>
    <w:p w:rsidR="00C77008" w:rsidRDefault="009D0D51">
      <w:pPr>
        <w:pStyle w:val="Heading2"/>
      </w:pPr>
      <w:r>
        <w:t>4.4 Commodity-Linked Themes Fuse via Shared Commodity Beta</w:t>
      </w:r>
    </w:p>
    <w:p w:rsidR="00C77008" w:rsidRDefault="009D0D51">
      <w:pPr>
        <w:spacing w:after="160" w:line="276" w:lineRule="auto"/>
      </w:pPr>
      <w:r>
        <w:t xml:space="preserve">The factor_4 pileup has an economic explanation: clean energy and critical-minerals companies share substantial commodity-input and capital-cycle exposure, and absent an explicit control, that shared commodity beta forms a single latent factor onto which multiple themes load. Adding commodity-sector ETF controls to the </w:t>
      </w:r>
      <w:proofErr w:type="spellStart"/>
      <w:r>
        <w:t>residualization</w:t>
      </w:r>
      <w:proofErr w:type="spellEnd"/>
      <w:r>
        <w:t xml:space="preserve"> (</w:t>
      </w:r>
      <w:proofErr w:type="spellStart"/>
      <w:r>
        <w:t>proxying</w:t>
      </w:r>
      <w:proofErr w:type="spellEnd"/>
      <w:r>
        <w:t xml:space="preserve"> the </w:t>
      </w:r>
      <w:proofErr w:type="spellStart"/>
      <w:r>
        <w:t>Bakshi</w:t>
      </w:r>
      <w:proofErr w:type="spellEnd"/>
      <w:r>
        <w:t xml:space="preserve">-Gao-Rossi factors) breaks the pileup apart. After commodity </w:t>
      </w:r>
      <w:proofErr w:type="spellStart"/>
      <w:r>
        <w:t>residualization</w:t>
      </w:r>
      <w:proofErr w:type="spellEnd"/>
      <w:r>
        <w:t>, the four-theme factor_4 cluster separates, and the affected baskets clean up materially.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lastRenderedPageBreak/>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With commodity controls</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Genuine clean-energy (BELFA, ENS, WATT, ASPN, CSIQ, TAC)</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Food and agriculture (POST, PPC, BJ, GEF)</w:t>
            </w:r>
          </w:p>
        </w:tc>
      </w:tr>
    </w:tbl>
    <w:p w:rsidR="00C77008" w:rsidRDefault="009D0D51">
      <w:pPr>
        <w:spacing w:before="60" w:after="200"/>
      </w:pPr>
      <w:r>
        <w:rPr>
          <w:i/>
          <w:iCs/>
          <w:color w:val="555555"/>
          <w:sz w:val="18"/>
          <w:szCs w:val="18"/>
        </w:rPr>
        <w:t xml:space="preserve">Table 2. Effect of commodity-factor controls on two contaminated themes. Clean Energy ETF correlation rose from 0.70 to 0.88 after commodity </w:t>
      </w:r>
      <w:proofErr w:type="spellStart"/>
      <w:r>
        <w:rPr>
          <w:i/>
          <w:iCs/>
          <w:color w:val="555555"/>
          <w:sz w:val="18"/>
          <w:szCs w:val="18"/>
        </w:rPr>
        <w:t>residualization</w:t>
      </w:r>
      <w:proofErr w:type="spellEnd"/>
      <w:r>
        <w:rPr>
          <w:i/>
          <w:iCs/>
          <w:color w:val="555555"/>
          <w:sz w:val="18"/>
          <w:szCs w:val="18"/>
        </w:rPr>
        <w:t>.</w:t>
      </w:r>
    </w:p>
    <w:p w:rsidR="00C77008" w:rsidRDefault="009D0D51">
      <w:pPr>
        <w:spacing w:after="160" w:line="276" w:lineRule="auto"/>
      </w:pPr>
      <w:r>
        <w:t>This is both a limitation and a prescription: themes whose narrative driver coincides with a commodity factor require explicit commodity controls to separate the thematic signal from shared commodity beta.</w:t>
      </w:r>
    </w:p>
    <w:p w:rsidR="00C77008" w:rsidRDefault="009D0D51">
      <w:pPr>
        <w:pStyle w:val="Heading2"/>
      </w:pPr>
      <w:r>
        <w:t>4.5 Validation: Two-Regime Beta</w:t>
      </w:r>
    </w:p>
    <w:p w:rsidR="00C77008" w:rsidRDefault="009D0D51">
      <w:pPr>
        <w:spacing w:after="160" w:line="276" w:lineRule="auto"/>
      </w:pPr>
      <w:r>
        <w:t>Out-of-sample validation against theme ETFs reveals high correlation across all themes (0.78 to 0.95), confirming that candidate baskets co-move with their themes. The beta decomposition adds a sharper result: baskets fall into two amplitude regimes that map onto the factor-ownership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C77008">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Theme</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ETF corr.</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Beta</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Basket cum.</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ETF cum.</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AI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0.92</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2.13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4.69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Robotics &amp; AI</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1.07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0.65</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Defense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1.00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1.39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1.36</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1.79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1.49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Agribusiness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0.78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1.08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0.40</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Fintech</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-0.04</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Cybersecurity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1.59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Critical Minerals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0.89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-0.63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0.92</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Clean Energy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0.70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0.66</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-0.35</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0.40</w:t>
            </w:r>
          </w:p>
        </w:tc>
      </w:tr>
    </w:tbl>
    <w:p w:rsidR="00C77008" w:rsidRDefault="009D0D51">
      <w:pPr>
        <w:spacing w:before="60" w:after="200"/>
      </w:pPr>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rsidR="00C77008" w:rsidRDefault="00212221">
      <w:pPr>
        <w:spacing w:after="160"/>
      </w:pPr>
      <w:r w:rsidRPr="00212221">
        <w:rPr>
          <w:noProof/>
        </w:rPr>
        <w:lastRenderedPageBreak/>
        <w:drawing>
          <wp:inline distT="0" distB="0" distL="0" distR="0" wp14:anchorId="34E59A85" wp14:editId="5C872C83">
            <wp:extent cx="5943600" cy="394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48430"/>
                    </a:xfrm>
                    <a:prstGeom prst="rect">
                      <a:avLst/>
                    </a:prstGeom>
                  </pic:spPr>
                </pic:pic>
              </a:graphicData>
            </a:graphic>
          </wp:inline>
        </w:drawing>
      </w:r>
    </w:p>
    <w:p w:rsidR="00212221" w:rsidRDefault="00212221">
      <w:pPr>
        <w:spacing w:after="160"/>
      </w:pPr>
    </w:p>
    <w:p w:rsidR="00212221" w:rsidRDefault="00212221">
      <w:pPr>
        <w:spacing w:after="160"/>
      </w:pPr>
    </w:p>
    <w:p w:rsidR="00212221" w:rsidRDefault="00212221">
      <w:pPr>
        <w:spacing w:after="160"/>
      </w:pPr>
      <w:r w:rsidRPr="00212221">
        <w:rPr>
          <w:noProof/>
        </w:rPr>
        <w:drawing>
          <wp:inline distT="0" distB="0" distL="0" distR="0">
            <wp:extent cx="5943600" cy="2476500"/>
            <wp:effectExtent l="0" t="0" r="0" b="0"/>
            <wp:docPr id="20" name="Picture 20" descr="C:\Users\aamin\Thematic Engine\outputs\fig_validation_Critical_Miner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amin\Thematic Engine\outputs\fig_validation_Critical_Mineral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lastRenderedPageBreak/>
        <w:drawing>
          <wp:inline distT="0" distB="0" distL="0" distR="0">
            <wp:extent cx="5943600" cy="2476500"/>
            <wp:effectExtent l="0" t="0" r="0" b="0"/>
            <wp:docPr id="21" name="Picture 21" descr="C:\Users\aamin\Thematic Engine\outputs\fig_validation_Agribus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amin\Thematic Engine\outputs\fig_validation_Agribusines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drawing>
          <wp:inline distT="0" distB="0" distL="0" distR="0">
            <wp:extent cx="5943600" cy="2476500"/>
            <wp:effectExtent l="0" t="0" r="0" b="0"/>
            <wp:docPr id="22" name="Picture 22" descr="C:\Users\aamin\Thematic Engine\outputs\fig_validation_US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amin\Thematic Engine\outputs\fig_validation_US_Infrastruc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drawing>
          <wp:inline distT="0" distB="0" distL="0" distR="0">
            <wp:extent cx="5943600" cy="2476500"/>
            <wp:effectExtent l="0" t="0" r="0" b="0"/>
            <wp:docPr id="25" name="Picture 25" descr="C:\Users\aamin\Thematic Engine\outputs\fig_validation_Fin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amin\Thematic Engine\outputs\fig_validation_Fintec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lastRenderedPageBreak/>
        <w:drawing>
          <wp:inline distT="0" distB="0" distL="0" distR="0">
            <wp:extent cx="5943600" cy="2476500"/>
            <wp:effectExtent l="0" t="0" r="0" b="0"/>
            <wp:docPr id="26" name="Picture 26" descr="C:\Users\aamin\Thematic Engine\outputs\fig_validation_Cyber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amin\Thematic Engine\outputs\fig_validation_Cybersecurity.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drawing>
          <wp:inline distT="0" distB="0" distL="0" distR="0">
            <wp:extent cx="5943600" cy="2476500"/>
            <wp:effectExtent l="0" t="0" r="0" b="0"/>
            <wp:docPr id="27" name="Picture 27" descr="C:\Users\aamin\Thematic Engine\outputs\fig_validation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amin\Thematic Engine\outputs\fig_validation_Defens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drawing>
          <wp:inline distT="0" distB="0" distL="0" distR="0">
            <wp:extent cx="5943600" cy="2476500"/>
            <wp:effectExtent l="0" t="0" r="0" b="0"/>
            <wp:docPr id="28" name="Picture 28" descr="C:\Users\aamin\Thematic Engine\outputs\fig_validation_Clean_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amin\Thematic Engine\outputs\fig_validation_Clean_Energ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lastRenderedPageBreak/>
        <w:drawing>
          <wp:inline distT="0" distB="0" distL="0" distR="0">
            <wp:extent cx="5943600" cy="2476500"/>
            <wp:effectExtent l="0" t="0" r="0" b="0"/>
            <wp:docPr id="29" name="Picture 29" descr="C:\Users\aamin\Thematic Engine\outputs\fig_validation_AI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amin\Thematic Engine\outputs\fig_validation_AI_Infrastructur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r w:rsidRPr="00212221">
        <w:rPr>
          <w:noProof/>
        </w:rPr>
        <w:drawing>
          <wp:inline distT="0" distB="0" distL="0" distR="0">
            <wp:extent cx="5943600" cy="2476500"/>
            <wp:effectExtent l="0" t="0" r="0" b="0"/>
            <wp:docPr id="30" name="Picture 30" descr="C:\Users\aamin\Thematic Engine\outputs\fig_validation_Robotics_and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amin\Thematic Engine\outputs\fig_validation_Robotics_and_AI.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pPr>
        <w:spacing w:after="160"/>
      </w:pPr>
    </w:p>
    <w:p w:rsidR="00212221" w:rsidRDefault="00212221">
      <w:pPr>
        <w:spacing w:after="160"/>
      </w:pPr>
    </w:p>
    <w:p w:rsidR="00C77008" w:rsidRDefault="00C77008">
      <w:pPr>
        <w:spacing w:after="160"/>
      </w:pPr>
    </w:p>
    <w:p w:rsidR="00C77008" w:rsidRDefault="009D0D51">
      <w:pPr>
        <w:spacing w:after="160" w:line="276" w:lineRule="auto"/>
      </w:pPr>
      <w:r>
        <w:t>Themes that own a clean factor track their ETF at full amplitude (beta at or above 1): AI Infrastructure 1.18, Robotics &amp; AI 1.07, Defense 1.00, US Infrastructure 0.98, Agribusiness 1.08. Themes that are commodity-contaminated are muted (beta below 1), most starkly Clean Energy at 0.66. Where a level gap coexists with beta at or above 1 — AI Infrastructure tracks at beta 1.18 yet reaches only 2.13 against the ETF's 4.69 — the gap is driven by mega-cap exclusion: the small-cap basket co-moves at full amplitude with the theme factor but structurally cannot hold the cap-weighted mega-cap winners that drive the ETF's level.</w:t>
      </w:r>
    </w:p>
    <w:p w:rsidR="00C77008" w:rsidRDefault="009D0D51">
      <w:pPr>
        <w:pStyle w:val="Heading2"/>
      </w:pPr>
      <w:r>
        <w:t>4.6 Coherence Is Regime-Dependent, Not Taxonomic</w:t>
      </w:r>
      <w:r w:rsidR="00A439C4">
        <w:t xml:space="preserve"> (</w:t>
      </w:r>
      <w:r w:rsidR="00A439C4" w:rsidRPr="00A439C4">
        <w:rPr>
          <w:i/>
          <w:color w:val="FF0000"/>
        </w:rPr>
        <w:t>or Validating the Diagnostic Against GICS Controls</w:t>
      </w:r>
      <w:r w:rsidR="00A439C4">
        <w:t>)</w:t>
      </w:r>
    </w:p>
    <w:p w:rsidR="00C77008" w:rsidRDefault="009D0D51">
      <w:pPr>
        <w:spacing w:after="160" w:line="276" w:lineRule="auto"/>
      </w:pPr>
      <w:r>
        <w:t xml:space="preserve">To calibrate the coherence scale, we introduced GICS sectors and subsectors as control labels, expecting them to sit at the top — a sector should own a latent factor almost by construction. </w:t>
      </w:r>
      <w:r>
        <w:lastRenderedPageBreak/>
        <w:t>The data contradict this expectation, and the contradiction is the paper's most consequential empirical result. Ranking all labels by distinctiveness, the GICS sectors are scattered through the themes rather than above them. US Financials, a textbook sector, ranks near the bottom, below cross-sector themes such as Water and AI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80"/>
        <w:gridCol w:w="1980"/>
        <w:gridCol w:w="2000"/>
      </w:tblGrid>
      <w:tr w:rsidR="00C77008">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Label</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Type</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Distinctiveness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Dominant factor</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Energy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Software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factor_6</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Water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Biotech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factor_7</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Banks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0.189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AI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Technology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Fintech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factor_3</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Financials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factor_4</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factor_4</w:t>
            </w:r>
          </w:p>
        </w:tc>
      </w:tr>
    </w:tbl>
    <w:p w:rsidR="00C77008" w:rsidRDefault="009D0D51">
      <w:pPr>
        <w:spacing w:before="60" w:after="200"/>
      </w:pPr>
      <w:r>
        <w:rPr>
          <w:i/>
          <w:iCs/>
          <w:color w:val="555555"/>
          <w:sz w:val="18"/>
          <w:szCs w:val="18"/>
        </w:rPr>
        <w:t>Table 5. Distinctiveness of themes and GICS controls (top ten of seventeen labels). Sectors are interleaved with themes rather than dominating; US Financials ranks below the cross-sector themes Water and AI Infrastructure.</w:t>
      </w:r>
    </w:p>
    <w:p w:rsidR="00C77008" w:rsidRDefault="00A439C4">
      <w:pPr>
        <w:spacing w:after="160"/>
      </w:pPr>
      <w:r>
        <w:rPr>
          <w:noProof/>
        </w:rPr>
        <w:drawing>
          <wp:inline distT="0" distB="0" distL="0" distR="0" wp14:anchorId="61479D85" wp14:editId="39136314">
            <wp:extent cx="5910943" cy="3456214"/>
            <wp:effectExtent l="0" t="0" r="1397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C77008" w:rsidRDefault="009D0D51">
      <w:pPr>
        <w:spacing w:after="160" w:line="276" w:lineRule="auto"/>
      </w:pPr>
      <w:r>
        <w:t xml:space="preserve">The mechanism is visible in the factor-sharing structure. The broad Technology sector loads on one factor, while its Software subsector loads on a different factor and semiconductors load on a third. The sector is split across factors because its subindustries have decoupled. In the 2018-2026 sample, the dominant structural driver — capital expenditure on artificial intelligence — has separated semiconductors and AI-infrastructure names from the rest of technology, so the </w:t>
      </w:r>
      <w:r>
        <w:lastRenderedPageBreak/>
        <w:t>broad sector is a less coherent cluster than its own fragments. The same fracture explains why US Financials, spanning banks, insurers, payments, and capital markets that no longer move as one, fails to own a factor.</w:t>
      </w:r>
    </w:p>
    <w:p w:rsidR="00C77008" w:rsidRDefault="009D0D51">
      <w:pPr>
        <w:spacing w:after="160" w:line="276" w:lineRule="auto"/>
      </w:pPr>
      <w:r>
        <w:t>This yields a reinterpretation of coherence itself. Coherence is not a fixed attribute of taxonomy — theme versus sector — but a regime-dependent attribute of co-movement. A GICS sector is a coherent covariance cluster only when its subindustries co-move; when a structural force splits a sector internally, the subindustry-spanning theme becomes the better-defined cluster. A theme, on this view, is a grouping that has decoupled from its GICS parent because a new economic driver cuts across the old classification. A theme is economically real precisely when it is more coherent than the sectors it draws from — and Water outscoring US Financials is the proof of concept, not an anomaly. We confirm the ordering is invariant to the number of extracted factors over the range tested (Appendix), so it is a stable structural property of the regime rather than an artifact of factor count.</w:t>
      </w:r>
    </w:p>
    <w:p w:rsidR="00C77008" w:rsidRDefault="009D0D51">
      <w:pPr>
        <w:pStyle w:val="Heading1"/>
      </w:pPr>
      <w:r>
        <w:t>5. Discussion</w:t>
      </w:r>
    </w:p>
    <w:p w:rsidR="00C77008" w:rsidRDefault="009D0D51">
      <w:pPr>
        <w:pStyle w:val="Heading2"/>
      </w:pPr>
      <w:r>
        <w:t>5.1 Purity versus Amplitude</w:t>
      </w:r>
    </w:p>
    <w:p w:rsidR="00C77008" w:rsidRDefault="009D0D51">
      <w:pPr>
        <w:spacing w:after="160" w:line="276" w:lineRule="auto"/>
      </w:pPr>
      <w:r>
        <w:t>A natural objection is that small-cap baskets underperform their large-cap ETFs in level terms. This does not indicate failure; it reflects a distinction between purity and amplitude. Small-cap names typically have higher thematic purity — a pure-play small-cap derives a larger share of its economics from the theme than a diversified large-cap. But an equal-weighted small-cap basket can exhibit lower realized amplitude than a cap-weighted ETF, because the ETF concentrates in the cap-weighted mega-cap winners while the equal-weighted basket carries the full cross-section, including the idiosyncratic losers that characterize the fat left tail of small-cap thematic universes. Purity is a per-name property about exposure; amplitude is a portfolio-level property about realized return. This motivates more sophisticated basket construction — beta-weighting and idiosyncratic-risk trimming — as future work.</w:t>
      </w:r>
    </w:p>
    <w:p w:rsidR="00C77008" w:rsidRDefault="009D0D51">
      <w:pPr>
        <w:pStyle w:val="Heading2"/>
      </w:pPr>
      <w:r>
        <w:t>5.2 The Diagnostic as a Pre-Trade Filter</w:t>
      </w:r>
    </w:p>
    <w:p w:rsidR="00C77008" w:rsidRDefault="009D0D51">
      <w:pPr>
        <w:spacing w:after="160" w:line="276" w:lineRule="auto"/>
      </w:pPr>
      <w:r>
        <w:t>The coherence and distinctiveness diagnostics are valuable independently of the discovery engine. They constitute a test of whether a theme is economically real — a genuine covariance cluster that the market prices as a unit — or merely a taxonomic label imposed on companies that belong to different covariance clusters. A theme that does not resolve into a distinct factor is telling the practitioner that the market does not trade it as a coherent unit, which is itself decision-relevant for a thematic portfolio manager assessing whether a theme is tradeable.</w:t>
      </w:r>
    </w:p>
    <w:p w:rsidR="00C77008" w:rsidRDefault="009D0D51">
      <w:pPr>
        <w:pStyle w:val="Heading2"/>
      </w:pPr>
      <w:r>
        <w:t>5.3 Practical Use</w:t>
      </w:r>
    </w:p>
    <w:p w:rsidR="00C77008" w:rsidRDefault="009D0D51">
      <w:pPr>
        <w:spacing w:after="160" w:line="276" w:lineRule="auto"/>
      </w:pPr>
      <w:r>
        <w:t xml:space="preserve">For a multi-strategy portfolio manager with a days-to-weeks horizon, the value of the engine is not in replicating an ETF's return — that exposure is directly purchasable — but in surfacing the small-cap expression of a theme, which is typically less crowded and capacity-constrained than the mega-cap names already crowded by large funds. A basket that reliably co-moves with a theme at correlation near 0.9 is a tradeable instrument: it can be sized, hedged against the ETF </w:t>
      </w:r>
      <w:r>
        <w:lastRenderedPageBreak/>
        <w:t>or the crowded large-caps, and rotated. The amplitude gap is the opportunity set, not the error term.</w:t>
      </w:r>
    </w:p>
    <w:p w:rsidR="00C77008" w:rsidRDefault="009D0D51">
      <w:pPr>
        <w:pStyle w:val="Heading2"/>
      </w:pPr>
      <w:r>
        <w:t>5.4 The Momentum Question: Factor Ownership Predicts Independence</w:t>
      </w:r>
    </w:p>
    <w:p w:rsidR="00C77008" w:rsidRDefault="009D0D51">
      <w:pPr>
        <w:spacing w:after="160" w:line="276" w:lineRule="auto"/>
      </w:pPr>
      <w:r>
        <w:t xml:space="preserve">A recurring industry critique holds that thematic investing is repackaged momentum. We test this directly with a three-part battery applied to the discovered small-cap candidates: an independent double sort (does the theme-score return spread survive within momentum quintiles), </w:t>
      </w:r>
      <w:proofErr w:type="spellStart"/>
      <w:r>
        <w:t>Fama-MacBeth</w:t>
      </w:r>
      <w:proofErr w:type="spellEnd"/>
      <w:r>
        <w:t xml:space="preserve"> cross-sectional regressions (does the theme coefficient survive controlling for each stock's own momentum, with Newey-West standard errors), and a spanning regression (does the theme long-short portfolio earn alpha relative to the momentum factor and the </w:t>
      </w:r>
      <w:proofErr w:type="spellStart"/>
      <w:r>
        <w:t>Fama</w:t>
      </w:r>
      <w:proofErr w:type="spellEnd"/>
      <w:r>
        <w:t xml:space="preserve">-French five). Throughout, momentum is each stock's own trailing twelve-minus-one-month return computed in the target universe — a distinct object from the momentum factor used in </w:t>
      </w:r>
      <w:proofErr w:type="spellStart"/>
      <w:r>
        <w:t>residualization</w:t>
      </w:r>
      <w:proofErr w:type="spellEnd"/>
      <w:r>
        <w:t>.</w:t>
      </w:r>
    </w:p>
    <w:p w:rsidR="00C77008" w:rsidRDefault="009D0D51">
      <w:pPr>
        <w:spacing w:after="160" w:line="276" w:lineRule="auto"/>
      </w:pPr>
      <w:r>
        <w:t>The answer is not universal, and that is the finding. It is theme-specific, and it lines up precisely with the factor-ownership diagnostic of Section 4.3. The themes that uniquely own a latent factor are exactly the themes whose signal survives the momentum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60"/>
        <w:gridCol w:w="1500"/>
        <w:gridCol w:w="1900"/>
        <w:gridCol w:w="1900"/>
      </w:tblGrid>
      <w:tr w:rsidR="00C77008">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Theme</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Owns factor?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Double sort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FM joint 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Spanning alpha</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strong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+1.31%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4.19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+16.3% (t 3.77)</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Defense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+1.22%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3.37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+12.8% (t 3.06)</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Robotics &amp; AI</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2.24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AI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+0.58%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1.84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Agribusiness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0.77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Cybersecurity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Clean Energy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contaminated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Critical Minerals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-0.44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-8.8% (</w:t>
            </w: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Fintech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-1.57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-8.5% (</w:t>
            </w:r>
            <w:proofErr w:type="spellStart"/>
            <w:r>
              <w:rPr>
                <w:sz w:val="19"/>
                <w:szCs w:val="19"/>
              </w:rPr>
              <w:t>n.s</w:t>
            </w:r>
            <w:proofErr w:type="spellEnd"/>
            <w:r>
              <w:rPr>
                <w:sz w:val="19"/>
                <w:szCs w:val="19"/>
              </w:rPr>
              <w:t>.)</w:t>
            </w:r>
          </w:p>
        </w:tc>
      </w:tr>
    </w:tbl>
    <w:p w:rsidR="00C77008" w:rsidRDefault="009D0D51">
      <w:pPr>
        <w:spacing w:before="60" w:after="200"/>
      </w:pPr>
      <w:r>
        <w:rPr>
          <w:i/>
          <w:iCs/>
          <w:color w:val="555555"/>
          <w:sz w:val="18"/>
          <w:szCs w:val="18"/>
        </w:rPr>
        <w:t>Table 4. Momentum battery on discovered candidates, ordered by double-sort spread. Themes that uniquely own a factor (US Infrastructure, Defense) survive all three tests; themes that share a factor or own none show no independent signal, and two show negative signal. Double sort is the theme Q5-minus-Q1 forward-return spread averaged within momentum quintiles; FM joint t is the Newey-West t-statistic on the theme coefficient after adding momentum.</w:t>
      </w:r>
    </w:p>
    <w:p w:rsidR="00C77008" w:rsidRDefault="00212221">
      <w:pPr>
        <w:spacing w:after="160"/>
      </w:pPr>
      <w:r w:rsidRPr="00212221">
        <w:rPr>
          <w:noProof/>
        </w:rPr>
        <w:lastRenderedPageBreak/>
        <w:drawing>
          <wp:inline distT="0" distB="0" distL="0" distR="0">
            <wp:extent cx="5943600" cy="3566160"/>
            <wp:effectExtent l="0" t="0" r="0" b="0"/>
            <wp:docPr id="33" name="Picture 33" descr="C:\Users\aamin\Thematic Engine\outputs\fig_momentum_hori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amin\Thematic Engine\outputs\fig_momentum_horiz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rsidR="00C77008" w:rsidRDefault="009D0D51">
      <w:pPr>
        <w:spacing w:after="160" w:line="276" w:lineRule="auto"/>
      </w:pPr>
      <w:r>
        <w:t>Two themes — US Infrastructure and Defense — pass all three tests decisively, with theme coefficients essentially unchanged by the addition of momentum. These are proof cases that the discovered signal is not momentum in disguise. The themes that share a factor or own none show no significant independent signal, and Fintech and Critical Minerals show negative signal, indicating their candidate baskets are on the wrong side of momentum. Crucially, it is not random which themes pass: the survivors are precisely the factor-owners identified in advance by the coherence diagnostic, which both defuses the multiple-testing concern and integrates the momentum question into the paper's central mechanism. The honest answer to whether thematic investing is just momentum is therefore conditional — it depends on whether the theme is a coherent, distinctly-owned factor, and the coherence diagnostic predicts which themes those are.</w:t>
      </w:r>
    </w:p>
    <w:p w:rsidR="00C77008" w:rsidRDefault="009D0D51">
      <w:pPr>
        <w:spacing w:after="160" w:line="276" w:lineRule="auto"/>
      </w:pPr>
      <w:r>
        <w:t>We confirm these results across forward-return horizons of one, four, and twelve weeks. US Infrastructure and Defense remain significant at every horizon (robust three-of-three), while the null themes remain flat near zero throughout. Notably, for the two robust themes the t-statistic rises monotonically with horizon — for US Infrastructure from 3.53 at one week to 5.76 at twelve weeks, and for Defense from 2.95 to 4.00. A genuine momentum echo would decay as the horizon lengthens; the fact that the theme signal instead strengthens indicates it is a slow-moving structural signal that compounds over weeks, providing additional mechanistic separation between theme and momentum.</w:t>
      </w:r>
    </w:p>
    <w:p w:rsidR="00C77008" w:rsidRDefault="009D0D51">
      <w:pPr>
        <w:pStyle w:val="Heading2"/>
      </w:pPr>
      <w:r>
        <w:t>5.5 Limitations</w:t>
      </w:r>
    </w:p>
    <w:p w:rsidR="00C77008" w:rsidRDefault="009D0D51">
      <w:pPr>
        <w:pStyle w:val="ListParagraph"/>
        <w:numPr>
          <w:ilvl w:val="0"/>
          <w:numId w:val="2"/>
        </w:numPr>
        <w:spacing w:after="80" w:line="276" w:lineRule="auto"/>
      </w:pPr>
      <w:r>
        <w:t>The out-of-sample validation metric, ETF correlation, is necessary but not sufficient: a basket may correlate with an ETF for non-thematic reasons. A second validation axis based on fundamental sector or industry overlap would strengthen the claims.</w:t>
      </w:r>
    </w:p>
    <w:p w:rsidR="00C77008" w:rsidRDefault="009D0D51">
      <w:pPr>
        <w:pStyle w:val="ListParagraph"/>
        <w:numPr>
          <w:ilvl w:val="0"/>
          <w:numId w:val="2"/>
        </w:numPr>
        <w:spacing w:after="80" w:line="276" w:lineRule="auto"/>
      </w:pPr>
      <w:r>
        <w:lastRenderedPageBreak/>
        <w:t>The number of factors K is set to 15 on the basis of a sweep showing distinctiveness is invariant to K across the tested range (Appendix); formal information-criterion selection is left to future work.</w:t>
      </w:r>
    </w:p>
    <w:p w:rsidR="00C77008" w:rsidRDefault="009D0D51">
      <w:pPr>
        <w:pStyle w:val="ListParagraph"/>
        <w:numPr>
          <w:ilvl w:val="0"/>
          <w:numId w:val="2"/>
        </w:numPr>
        <w:spacing w:after="80" w:line="276" w:lineRule="auto"/>
      </w:pPr>
      <w:r>
        <w:t>The momentum battery uses each stock's own trailing return as the momentum control; results are reported across one-, four-, and twelve-week horizons, but a longer sample and additional momentum specifications would further strengthen the conditional claim.</w:t>
      </w:r>
    </w:p>
    <w:p w:rsidR="00C77008" w:rsidRDefault="009D0D51">
      <w:pPr>
        <w:pStyle w:val="ListParagraph"/>
        <w:numPr>
          <w:ilvl w:val="0"/>
          <w:numId w:val="2"/>
        </w:numPr>
        <w:spacing w:after="80" w:line="276" w:lineRule="auto"/>
      </w:pPr>
      <w:r>
        <w:t xml:space="preserve">Several data inputs are </w:t>
      </w:r>
      <w:proofErr w:type="spellStart"/>
      <w:r>
        <w:t>proxied</w:t>
      </w:r>
      <w:proofErr w:type="spellEnd"/>
      <w:r>
        <w:t xml:space="preserve"> owing to licensing constraints, which may introduce off-theme holdings and attenuate measured performance.</w:t>
      </w:r>
    </w:p>
    <w:p w:rsidR="00C77008" w:rsidRDefault="009D0D51">
      <w:pPr>
        <w:pStyle w:val="Heading1"/>
      </w:pPr>
      <w:r>
        <w:t>6. Conclusion</w:t>
      </w:r>
    </w:p>
    <w:p w:rsidR="00C77008" w:rsidRDefault="009D0D51">
      <w:pPr>
        <w:spacing w:after="160" w:line="276" w:lineRule="auto"/>
      </w:pPr>
      <w:r>
        <w:t xml:space="preserve">We set out to recover investment themes from return co-movement alone, to determine what makes a theme tradeable, and to test whether thematic exposure is distinct from momentum. </w:t>
      </w:r>
      <w:proofErr w:type="spellStart"/>
      <w:r>
        <w:t>ThemeCloner</w:t>
      </w:r>
      <w:proofErr w:type="spellEnd"/>
      <w:r>
        <w:t xml:space="preserve"> extracts a theme's signature from the residual co-movement of thematic ETFs and projects it onto a disjoint small-cap universe, discovering thematically-exposed stocks without using any holdings data. The method's central output is not a single basket but a diagnostic: a theme yields clean, investable baskets if and only if it uniquely owns a latent factor, and this same criterion of factor ownership predicts which themes contaminate one another and which survive a momentum control.</w:t>
      </w:r>
    </w:p>
    <w:p w:rsidR="00C77008" w:rsidRDefault="009D0D51">
      <w:pPr>
        <w:spacing w:after="160" w:line="276" w:lineRule="auto"/>
      </w:pPr>
      <w:r>
        <w:t>The most consequential finding is that coherence is regime-dependent rather than taxonomic. Introduced as a calibration ceiling, GICS sectors instead scatter among the themes, and several cross-sector themes prove to be more distinctly-owned latent factors than the sectors they span. The reason is that a structural driver — artificial-intelligence capital expenditure in our sample — fractures sectors internally, so that the subindustry-spanning theme becomes the better-defined cluster. This supplies an economic rationale for thematic investing that does not rest on narrative: themes matter because sectors cohere only when their subindustries do, and when a new driver cuts across the old taxonomy, the theme is the more faithful description of how the market actually moves.</w:t>
      </w:r>
    </w:p>
    <w:p w:rsidR="00C77008" w:rsidRDefault="009D0D51">
      <w:pPr>
        <w:spacing w:after="160" w:line="276" w:lineRule="auto"/>
      </w:pPr>
      <w:r>
        <w:t>On the momentum question, our answer is conditional and tied to the same mechanism. The discovered signal survives controls for stock-level momentum, across forward horizons, precisely for the themes that own a distinct factor; for themes that share a factor or own none, the signal is weak or absent. Thematic investing is therefore not reducible to momentum, but neither is every theme distinct from it — the distinction holds exactly when the theme is a genuine, distinctly-owned covariance cluster. The coherence diagnostic, computed before any basket is formed, tells the practitioner in advance which case they are in.</w:t>
      </w:r>
    </w:p>
    <w:p w:rsidR="00C77008" w:rsidRDefault="009D0D51">
      <w:pPr>
        <w:spacing w:after="160" w:line="276" w:lineRule="auto"/>
      </w:pPr>
      <w:r>
        <w:t xml:space="preserve">Several extensions follow naturally. The regime-dependence result invites a multi-period study comparing how the coherence ordering shifts across historical regimes, which our framework is constructed to run. The validation can be strengthened with a fundamentals-based axis beyond return correlation, and the small-cap amplitude gap invites more sophisticated basket construction. We leave these to future work, having established within the present regime that themes are recoverable latent factors, that factor ownership determines </w:t>
      </w:r>
      <w:proofErr w:type="spellStart"/>
      <w:r>
        <w:t>tradeability</w:t>
      </w:r>
      <w:proofErr w:type="spellEnd"/>
      <w:r>
        <w:t xml:space="preserve">, and that the </w:t>
      </w:r>
      <w:r>
        <w:lastRenderedPageBreak/>
        <w:t>long-standing question of whether thematic investing is merely momentum has a precise, mechanism-based answer.</w:t>
      </w:r>
    </w:p>
    <w:p w:rsidR="00C77008" w:rsidRDefault="009D0D51">
      <w:pPr>
        <w:pStyle w:val="Heading1"/>
      </w:pPr>
      <w:r>
        <w:t>Appendix A. Robustness of Coherence to the Number of Factors</w:t>
      </w:r>
    </w:p>
    <w:p w:rsidR="00C77008" w:rsidRDefault="009D0D51">
      <w:pPr>
        <w:spacing w:after="160" w:line="276" w:lineRule="auto"/>
      </w:pPr>
      <w:r>
        <w:t xml:space="preserve">The coherence and distinctiveness diagnostics depend on the number of extracted factors, K. With seventeen labels and a finite factor count, factor-sharing is partly mechanical: when there are fewer factors than distinct clusters, labels are forced to share. To confirm that our findings — in particular the regime-coherence ordering in which cross-sector themes out-rank GICS sectors — are not artifacts of a particular K, we re-estimate the factor model and </w:t>
      </w:r>
      <w:proofErr w:type="spellStart"/>
      <w:r>
        <w:t>recompute</w:t>
      </w:r>
      <w:proofErr w:type="spellEnd"/>
      <w:r>
        <w:t xml:space="preserve"> distinctiveness at K of 10, 15, 20, and 25.</w:t>
      </w:r>
    </w:p>
    <w:p w:rsidR="00C77008" w:rsidRDefault="009D0D51">
      <w:pPr>
        <w:spacing w:after="160" w:line="276" w:lineRule="auto"/>
      </w:pPr>
      <w:r>
        <w:t>The ordering is essentially invariant to K. Each label's distinctiveness is stable across the tested range, with the single exception of Cybersecurity, whose dominant factor only resolves at K of fifteen or above. We therefore adopt K = 15 as the default in the main analysis: it is the smallest factor count that resolves every theme, and it leaves all other labels' distinctiveness unchanged. Critically, the headline comparison is robust at every K: the cross-sector theme Water is more distinctly-owned than the US Financials sector at K of 10, 15, 20, and 25 alike.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pPr>
              <w:jc w:val="center"/>
            </w:pPr>
            <w:r>
              <w:rPr>
                <w:b/>
                <w:bCs/>
                <w:sz w:val="19"/>
                <w:szCs w:val="19"/>
              </w:rPr>
              <w:t>K=25</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0.321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0.314</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0.200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0.190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0.170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0.139</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0.132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0.108</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0.101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0.092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
              <w:rPr>
                <w:sz w:val="19"/>
                <w:szCs w:val="19"/>
              </w:rPr>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pPr>
              <w:jc w:val="center"/>
            </w:pPr>
            <w:r>
              <w:rPr>
                <w:sz w:val="19"/>
                <w:szCs w:val="19"/>
              </w:rPr>
              <w:t>0.057</w:t>
            </w:r>
          </w:p>
        </w:tc>
      </w:tr>
    </w:tbl>
    <w:p w:rsidR="00C77008" w:rsidRDefault="009D0D51">
      <w:pPr>
        <w:spacing w:before="60" w:after="200"/>
      </w:pPr>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rsidR="00C77008" w:rsidRDefault="009937B8">
      <w:pPr>
        <w:spacing w:after="160"/>
      </w:pPr>
      <w:r w:rsidRPr="009937B8">
        <w:rPr>
          <w:noProof/>
        </w:rPr>
        <w:lastRenderedPageBreak/>
        <w:drawing>
          <wp:inline distT="0" distB="0" distL="0" distR="0">
            <wp:extent cx="5943600" cy="3782291"/>
            <wp:effectExtent l="0" t="0" r="0" b="8890"/>
            <wp:docPr id="34" name="Picture 34" descr="C:\Users\aamin\Thematic Engine\outputs\fig_coherence_k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amin\Thematic Engine\outputs\fig_coherence_kswee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291"/>
                    </a:xfrm>
                    <a:prstGeom prst="rect">
                      <a:avLst/>
                    </a:prstGeom>
                    <a:noFill/>
                    <a:ln>
                      <a:noFill/>
                    </a:ln>
                  </pic:spPr>
                </pic:pic>
              </a:graphicData>
            </a:graphic>
          </wp:inline>
        </w:drawing>
      </w:r>
    </w:p>
    <w:sectPr w:rsidR="00C770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141203"/>
    <w:rsid w:val="00212221"/>
    <w:rsid w:val="002F4C03"/>
    <w:rsid w:val="005E0AFF"/>
    <w:rsid w:val="006C4E82"/>
    <w:rsid w:val="00765E95"/>
    <w:rsid w:val="009937B8"/>
    <w:rsid w:val="009D0D51"/>
    <w:rsid w:val="00A439C4"/>
    <w:rsid w:val="00AE71A4"/>
    <w:rsid w:val="00B21086"/>
    <w:rsid w:val="00C77008"/>
    <w:rsid w:val="00E85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C534"/>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1"/>
          <c:order val="0"/>
          <c:tx>
            <c:v>Distinctiveness (K=15)</c:v>
          </c:tx>
          <c:spPr>
            <a:solidFill>
              <a:schemeClr val="accent2"/>
            </a:solidFill>
            <a:ln>
              <a:noFill/>
            </a:ln>
            <a:effectLst/>
          </c:spPr>
          <c:invertIfNegative val="0"/>
          <c:cat>
            <c:strRef>
              <c:f>Sheet1!$A$4:$B$20</c:f>
              <c:strCache>
                <c:ptCount val="17"/>
                <c:pt idx="0">
                  <c:v>SECTOR: US Energy</c:v>
                </c:pt>
                <c:pt idx="1">
                  <c:v>SUBSECTOR: US Software</c:v>
                </c:pt>
                <c:pt idx="2">
                  <c:v>Water</c:v>
                </c:pt>
                <c:pt idx="3">
                  <c:v>Cybersecurity</c:v>
                </c:pt>
                <c:pt idx="4">
                  <c:v>SUBSECTOR: US Biotech</c:v>
                </c:pt>
                <c:pt idx="5">
                  <c:v>SUBSECTOR: US Banks</c:v>
                </c:pt>
                <c:pt idx="6">
                  <c:v>AI Infrastructure</c:v>
                </c:pt>
                <c:pt idx="7">
                  <c:v>SECTOR: US Technology</c:v>
                </c:pt>
                <c:pt idx="8">
                  <c:v>Fintech</c:v>
                </c:pt>
                <c:pt idx="9">
                  <c:v>SECTOR: US Financials</c:v>
                </c:pt>
                <c:pt idx="10">
                  <c:v>US Infrastructure</c:v>
                </c:pt>
                <c:pt idx="11">
                  <c:v>Agribusiness</c:v>
                </c:pt>
                <c:pt idx="12">
                  <c:v>Timber &amp; Forestry</c:v>
                </c:pt>
                <c:pt idx="13">
                  <c:v>Defense</c:v>
                </c:pt>
                <c:pt idx="14">
                  <c:v>Robotics &amp; AI</c:v>
                </c:pt>
                <c:pt idx="15">
                  <c:v>Clean Energy</c:v>
                </c:pt>
                <c:pt idx="16">
                  <c:v>Critical Minerals</c:v>
                </c:pt>
              </c:strCache>
              <c:extLst/>
            </c:strRef>
          </c:cat>
          <c:val>
            <c:numRef>
              <c:f>Sheet1!$D$4:$D$20</c:f>
              <c:numCache>
                <c:formatCode>General</c:formatCode>
                <c:ptCount val="17"/>
                <c:pt idx="0">
                  <c:v>0.32100000000000001</c:v>
                </c:pt>
                <c:pt idx="1">
                  <c:v>0.314</c:v>
                </c:pt>
                <c:pt idx="2">
                  <c:v>0.247</c:v>
                </c:pt>
                <c:pt idx="3">
                  <c:v>0.247</c:v>
                </c:pt>
                <c:pt idx="4">
                  <c:v>0.2</c:v>
                </c:pt>
                <c:pt idx="5">
                  <c:v>0.19</c:v>
                </c:pt>
                <c:pt idx="6">
                  <c:v>0.17199999999999999</c:v>
                </c:pt>
                <c:pt idx="7">
                  <c:v>0.17100000000000001</c:v>
                </c:pt>
                <c:pt idx="8">
                  <c:v>0.17</c:v>
                </c:pt>
                <c:pt idx="9">
                  <c:v>0.13900000000000001</c:v>
                </c:pt>
                <c:pt idx="10">
                  <c:v>0.13700000000000001</c:v>
                </c:pt>
                <c:pt idx="11">
                  <c:v>0.13200000000000001</c:v>
                </c:pt>
                <c:pt idx="12">
                  <c:v>0.108</c:v>
                </c:pt>
                <c:pt idx="13">
                  <c:v>0.10100000000000001</c:v>
                </c:pt>
                <c:pt idx="14">
                  <c:v>9.7000000000000003E-2</c:v>
                </c:pt>
                <c:pt idx="15">
                  <c:v>9.1999999999999998E-2</c:v>
                </c:pt>
                <c:pt idx="16">
                  <c:v>5.7000000000000002E-2</c:v>
                </c:pt>
              </c:numCache>
            </c:numRef>
          </c:val>
          <c:extLst>
            <c:ext xmlns:c16="http://schemas.microsoft.com/office/drawing/2014/chart" uri="{C3380CC4-5D6E-409C-BE32-E72D297353CC}">
              <c16:uniqueId val="{00000000-E24B-496F-AE5F-EC6C564DB322}"/>
            </c:ext>
          </c:extLst>
        </c:ser>
        <c:dLbls>
          <c:showLegendKey val="0"/>
          <c:showVal val="0"/>
          <c:showCatName val="0"/>
          <c:showSerName val="0"/>
          <c:showPercent val="0"/>
          <c:showBubbleSize val="0"/>
        </c:dLbls>
        <c:gapWidth val="150"/>
        <c:overlap val="100"/>
        <c:axId val="665075584"/>
        <c:axId val="665078496"/>
      </c:barChart>
      <c:catAx>
        <c:axId val="66507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8496"/>
        <c:crosses val="autoZero"/>
        <c:auto val="1"/>
        <c:lblAlgn val="ctr"/>
        <c:lblOffset val="100"/>
        <c:noMultiLvlLbl val="0"/>
      </c:catAx>
      <c:valAx>
        <c:axId val="6650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5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5908</Words>
  <Characters>33677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4</cp:revision>
  <dcterms:created xsi:type="dcterms:W3CDTF">2026-06-28T02:51:00Z</dcterms:created>
  <dcterms:modified xsi:type="dcterms:W3CDTF">2026-07-02T22:08:00Z</dcterms:modified>
</cp:coreProperties>
</file>