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2AEC0" w14:textId="7AAC7D22" w:rsidR="00080930" w:rsidRPr="00C55F25" w:rsidRDefault="00415BFB" w:rsidP="000809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 А.А</w:t>
      </w:r>
      <w:r w:rsidR="00080930">
        <w:rPr>
          <w:rFonts w:ascii="Times New Roman" w:hAnsi="Times New Roman" w:cs="Times New Roman"/>
          <w:sz w:val="28"/>
          <w:szCs w:val="28"/>
        </w:rPr>
        <w:t>, ИКТЗ-83</w:t>
      </w:r>
    </w:p>
    <w:p w14:paraId="4506E656" w14:textId="77777777" w:rsidR="00080930" w:rsidRDefault="00080930" w:rsidP="00080930">
      <w:pPr>
        <w:rPr>
          <w:rFonts w:ascii="Times New Roman" w:hAnsi="Times New Roman" w:cs="Times New Roman"/>
          <w:sz w:val="28"/>
          <w:szCs w:val="28"/>
        </w:rPr>
      </w:pPr>
    </w:p>
    <w:p w14:paraId="4FCAE153" w14:textId="679A16F4" w:rsidR="00555935" w:rsidRDefault="00BC5F17" w:rsidP="00BC5F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к лабораторной работе №</w:t>
      </w:r>
      <w:r w:rsidR="00B2303D">
        <w:rPr>
          <w:rFonts w:ascii="Times New Roman" w:hAnsi="Times New Roman" w:cs="Times New Roman"/>
          <w:sz w:val="28"/>
          <w:szCs w:val="28"/>
        </w:rPr>
        <w:t>5</w:t>
      </w:r>
    </w:p>
    <w:p w14:paraId="22876EA1" w14:textId="28E271A1" w:rsidR="00B2303D" w:rsidRPr="00B2303D" w:rsidRDefault="00B2303D" w:rsidP="00B2303D">
      <w:pPr>
        <w:jc w:val="center"/>
        <w:rPr>
          <w:rFonts w:ascii="Times New Roman" w:eastAsia="Times New Roman" w:hAnsi="Times New Roman" w:cs="Times New Roman"/>
          <w:bCs/>
          <w:caps/>
          <w:smallCaps/>
          <w:sz w:val="28"/>
          <w:szCs w:val="20"/>
          <w:lang w:eastAsia="ru-RU"/>
        </w:rPr>
      </w:pPr>
      <w:r w:rsidRPr="00B2303D">
        <w:rPr>
          <w:rFonts w:ascii="Times New Roman" w:eastAsia="Times New Roman" w:hAnsi="Times New Roman" w:cs="Times New Roman"/>
          <w:bCs/>
          <w:caps/>
          <w:smallCaps/>
          <w:sz w:val="28"/>
          <w:szCs w:val="20"/>
          <w:lang w:eastAsia="ru-RU"/>
        </w:rPr>
        <w:t>ИССЛЕДОВАНИЕ</w:t>
      </w:r>
    </w:p>
    <w:p w14:paraId="5B10A6F8" w14:textId="77777777" w:rsidR="00B2303D" w:rsidRPr="00B2303D" w:rsidRDefault="00B2303D" w:rsidP="00B2303D">
      <w:pPr>
        <w:jc w:val="center"/>
        <w:rPr>
          <w:rFonts w:ascii="Times New Roman" w:eastAsia="Times New Roman" w:hAnsi="Times New Roman" w:cs="Times New Roman"/>
          <w:bCs/>
          <w:caps/>
          <w:smallCaps/>
          <w:sz w:val="28"/>
          <w:szCs w:val="20"/>
          <w:lang w:eastAsia="ru-RU"/>
        </w:rPr>
      </w:pPr>
      <w:r w:rsidRPr="00B2303D">
        <w:rPr>
          <w:rFonts w:ascii="Times New Roman" w:eastAsia="Times New Roman" w:hAnsi="Times New Roman" w:cs="Times New Roman"/>
          <w:bCs/>
          <w:caps/>
          <w:smallCaps/>
          <w:sz w:val="28"/>
          <w:szCs w:val="20"/>
          <w:lang w:eastAsia="ru-RU"/>
        </w:rPr>
        <w:t>ЭЛЕКТРОННО-СЧЕТНОГО (ЦИФРОВОГО) ЧАСТОТОМЕРА</w:t>
      </w:r>
    </w:p>
    <w:p w14:paraId="6DA3C348" w14:textId="1BE27E36" w:rsidR="00BC5F17" w:rsidRPr="00BC5F17" w:rsidRDefault="00BC5F17" w:rsidP="00B230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C5F17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4818A84A" w14:textId="77777777" w:rsidR="00B2303D" w:rsidRDefault="00B2303D" w:rsidP="00B2303D">
      <w:pPr>
        <w:pStyle w:val="a4"/>
        <w:numPr>
          <w:ilvl w:val="0"/>
          <w:numId w:val="5"/>
        </w:numPr>
        <w:spacing w:line="240" w:lineRule="auto"/>
      </w:pPr>
      <w:r>
        <w:t>Изучить метрологические характеристики, принципы работы, структурную схему, источники погрешностей электронно-счетного частотомера, способы нормирования суммарной погрешности.</w:t>
      </w:r>
    </w:p>
    <w:p w14:paraId="74FCFB57" w14:textId="77777777" w:rsidR="00B2303D" w:rsidRDefault="00B2303D" w:rsidP="00B2303D">
      <w:pPr>
        <w:pStyle w:val="a4"/>
        <w:numPr>
          <w:ilvl w:val="0"/>
          <w:numId w:val="5"/>
        </w:numPr>
        <w:spacing w:line="240" w:lineRule="auto"/>
      </w:pPr>
      <w:r>
        <w:t>Научиться оценивать абсолютные и относите</w:t>
      </w:r>
      <w:bookmarkStart w:id="0" w:name="_GoBack"/>
      <w:bookmarkEnd w:id="0"/>
      <w:r>
        <w:t>льные погрешности результатов измерения частоты и периода, обусловленные погрешностями частотомера.</w:t>
      </w:r>
    </w:p>
    <w:p w14:paraId="28433E5B" w14:textId="77777777" w:rsidR="00B2303D" w:rsidRDefault="00B2303D" w:rsidP="00B2303D">
      <w:pPr>
        <w:pStyle w:val="a4"/>
        <w:numPr>
          <w:ilvl w:val="0"/>
          <w:numId w:val="5"/>
        </w:numPr>
        <w:spacing w:line="240" w:lineRule="auto"/>
      </w:pPr>
      <w:r>
        <w:t>Получить практические навыки работы с частотомером.</w:t>
      </w:r>
    </w:p>
    <w:p w14:paraId="16D138EF" w14:textId="13A07A2B" w:rsidR="00BC5F17" w:rsidRDefault="00BC5F17" w:rsidP="00BC5F17">
      <w:pPr>
        <w:pStyle w:val="a4"/>
        <w:ind w:firstLine="0"/>
        <w:rPr>
          <w:u w:val="single"/>
        </w:rPr>
      </w:pPr>
    </w:p>
    <w:p w14:paraId="0E7B735B" w14:textId="12A3903E" w:rsidR="00B2303D" w:rsidRPr="00B2303D" w:rsidRDefault="00B2303D" w:rsidP="00BC5F17">
      <w:pPr>
        <w:pStyle w:val="a4"/>
        <w:ind w:firstLine="0"/>
      </w:pPr>
      <w:r w:rsidRPr="00B2303D">
        <w:t>Таб</w:t>
      </w:r>
      <w:r>
        <w:t>лица 5.1 – Основные метрологические характеристики частотомера Ч3-33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4"/>
        <w:gridCol w:w="3799"/>
      </w:tblGrid>
      <w:tr w:rsidR="00B2303D" w14:paraId="742B7FC2" w14:textId="77777777" w:rsidTr="00373759">
        <w:tc>
          <w:tcPr>
            <w:tcW w:w="6124" w:type="dxa"/>
          </w:tcPr>
          <w:p w14:paraId="78C9CAC0" w14:textId="77777777" w:rsidR="00B2303D" w:rsidRDefault="00B2303D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</w:p>
        </w:tc>
        <w:tc>
          <w:tcPr>
            <w:tcW w:w="3799" w:type="dxa"/>
          </w:tcPr>
          <w:p w14:paraId="707411C5" w14:textId="77777777" w:rsidR="00B2303D" w:rsidRDefault="00B2303D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Нормируемые</w:t>
            </w:r>
          </w:p>
          <w:p w14:paraId="2FDAB3AB" w14:textId="77777777" w:rsidR="00B2303D" w:rsidRDefault="00B2303D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B2303D" w14:paraId="35C9ACE7" w14:textId="77777777" w:rsidTr="00373759">
        <w:tc>
          <w:tcPr>
            <w:tcW w:w="6124" w:type="dxa"/>
          </w:tcPr>
          <w:p w14:paraId="43D1311C" w14:textId="77777777" w:rsidR="00B2303D" w:rsidRDefault="00B2303D" w:rsidP="006F57BF">
            <w:pPr>
              <w:pStyle w:val="a4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Режимы измерения:</w:t>
            </w:r>
          </w:p>
        </w:tc>
        <w:tc>
          <w:tcPr>
            <w:tcW w:w="3799" w:type="dxa"/>
          </w:tcPr>
          <w:p w14:paraId="4B55CDEC" w14:textId="3301A3AA" w:rsidR="00B2303D" w:rsidRDefault="00B2303D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Синусоидальный сигнал, импульсы любой полярности</w:t>
            </w:r>
          </w:p>
        </w:tc>
      </w:tr>
      <w:tr w:rsidR="00B2303D" w14:paraId="409E2C89" w14:textId="77777777" w:rsidTr="00373759">
        <w:tc>
          <w:tcPr>
            <w:tcW w:w="6124" w:type="dxa"/>
          </w:tcPr>
          <w:p w14:paraId="14FAEF6A" w14:textId="77777777" w:rsidR="00B2303D" w:rsidRDefault="00B2303D" w:rsidP="006F57BF">
            <w:pPr>
              <w:pStyle w:val="a4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Диапазон измеряемых частот в режиме измерения частоты, Гц</w:t>
            </w:r>
          </w:p>
        </w:tc>
        <w:tc>
          <w:tcPr>
            <w:tcW w:w="3799" w:type="dxa"/>
          </w:tcPr>
          <w:p w14:paraId="79BF72A5" w14:textId="1FA3CB6D" w:rsidR="00B2303D" w:rsidRPr="00B2303D" w:rsidRDefault="00B2303D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– 10</w:t>
            </w:r>
            <w:r>
              <w:rPr>
                <w:sz w:val="24"/>
                <w:lang w:val="en-US"/>
              </w:rPr>
              <w:t>^7</w:t>
            </w:r>
          </w:p>
        </w:tc>
      </w:tr>
      <w:tr w:rsidR="00B2303D" w14:paraId="0BA958ED" w14:textId="77777777" w:rsidTr="00373759">
        <w:tc>
          <w:tcPr>
            <w:tcW w:w="6124" w:type="dxa"/>
          </w:tcPr>
          <w:p w14:paraId="0F1F62B5" w14:textId="77777777" w:rsidR="00B2303D" w:rsidRDefault="00B2303D" w:rsidP="006F57BF">
            <w:pPr>
              <w:pStyle w:val="a4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Пределы установки времени измерения </w:t>
            </w:r>
            <w:r>
              <w:rPr>
                <w:sz w:val="24"/>
              </w:rPr>
              <w:sym w:font="Symbol" w:char="F044"/>
            </w:r>
            <w:r>
              <w:rPr>
                <w:i/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, с</w:t>
            </w:r>
          </w:p>
        </w:tc>
        <w:tc>
          <w:tcPr>
            <w:tcW w:w="3799" w:type="dxa"/>
          </w:tcPr>
          <w:p w14:paraId="421A728D" w14:textId="3010B414" w:rsidR="00B2303D" w:rsidRPr="000108DB" w:rsidRDefault="000108DB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.01; 0.1; 1; 10</w:t>
            </w:r>
          </w:p>
        </w:tc>
      </w:tr>
      <w:tr w:rsidR="00B2303D" w14:paraId="5D55F423" w14:textId="77777777" w:rsidTr="00373759">
        <w:tc>
          <w:tcPr>
            <w:tcW w:w="6124" w:type="dxa"/>
          </w:tcPr>
          <w:p w14:paraId="7AC53D6F" w14:textId="77777777" w:rsidR="00B2303D" w:rsidRDefault="00B2303D" w:rsidP="006F57BF">
            <w:pPr>
              <w:pStyle w:val="a4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Пределы установки периода меток времени </w:t>
            </w:r>
            <w:r>
              <w:rPr>
                <w:i/>
                <w:iCs/>
                <w:sz w:val="24"/>
              </w:rPr>
              <w:t>Т</w:t>
            </w:r>
            <w:r>
              <w:rPr>
                <w:sz w:val="24"/>
                <w:vertAlign w:val="subscript"/>
              </w:rPr>
              <w:t>0</w:t>
            </w:r>
            <w:r>
              <w:rPr>
                <w:i/>
                <w:iCs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мкс</w:t>
            </w:r>
            <w:proofErr w:type="spellEnd"/>
          </w:p>
        </w:tc>
        <w:tc>
          <w:tcPr>
            <w:tcW w:w="3799" w:type="dxa"/>
          </w:tcPr>
          <w:p w14:paraId="7BD2B425" w14:textId="52E25905" w:rsidR="00B2303D" w:rsidRPr="000108DB" w:rsidRDefault="000108DB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0.1; 1; 10; 100; 1000</w:t>
            </w:r>
          </w:p>
        </w:tc>
      </w:tr>
      <w:tr w:rsidR="00B2303D" w14:paraId="413C07E1" w14:textId="77777777" w:rsidTr="00373759">
        <w:tc>
          <w:tcPr>
            <w:tcW w:w="6124" w:type="dxa"/>
          </w:tcPr>
          <w:p w14:paraId="4583D6EE" w14:textId="48E6A5DA" w:rsidR="00B2303D" w:rsidRDefault="00373759" w:rsidP="006F57BF">
            <w:pPr>
              <w:pStyle w:val="a4"/>
              <w:spacing w:line="240" w:lineRule="auto"/>
              <w:ind w:firstLine="0"/>
              <w:jc w:val="left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Основная относительная погрешность измерения частоты </w:t>
            </w:r>
            <w:r>
              <w:rPr>
                <w:sz w:val="24"/>
              </w:rPr>
              <w:sym w:font="Symbol" w:char="F064"/>
            </w:r>
            <w:r>
              <w:rPr>
                <w:i/>
                <w:sz w:val="24"/>
                <w:vertAlign w:val="subscript"/>
                <w:lang w:val="en-US"/>
              </w:rPr>
              <w:t>f</w:t>
            </w:r>
          </w:p>
        </w:tc>
        <w:tc>
          <w:tcPr>
            <w:tcW w:w="3799" w:type="dxa"/>
          </w:tcPr>
          <w:p w14:paraId="6DD937BC" w14:textId="1A0F248E" w:rsidR="00B2303D" w:rsidRPr="00373759" w:rsidRDefault="00415BFB" w:rsidP="006F57BF">
            <w:pPr>
              <w:pStyle w:val="a4"/>
              <w:spacing w:line="240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=±(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</w:tr>
      <w:tr w:rsidR="00B2303D" w14:paraId="2830356D" w14:textId="77777777" w:rsidTr="00373759">
        <w:tc>
          <w:tcPr>
            <w:tcW w:w="6124" w:type="dxa"/>
          </w:tcPr>
          <w:p w14:paraId="370721D3" w14:textId="0F0DA6F8" w:rsidR="00B2303D" w:rsidRDefault="00373759" w:rsidP="006F57BF">
            <w:pPr>
              <w:pStyle w:val="a4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Основная относительная погрешность измерения периода синусоидального сигнала, </w:t>
            </w:r>
            <w:r>
              <w:rPr>
                <w:sz w:val="24"/>
              </w:rPr>
              <w:sym w:font="Symbol" w:char="F064"/>
            </w:r>
            <w:r>
              <w:rPr>
                <w:i/>
                <w:sz w:val="24"/>
                <w:vertAlign w:val="subscript"/>
              </w:rPr>
              <w:t>Т</w:t>
            </w:r>
          </w:p>
        </w:tc>
        <w:tc>
          <w:tcPr>
            <w:tcW w:w="3799" w:type="dxa"/>
          </w:tcPr>
          <w:p w14:paraId="27A96263" w14:textId="6C069210" w:rsidR="00373759" w:rsidRPr="00373759" w:rsidRDefault="00415BFB" w:rsidP="00373759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 ±(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</w:tr>
      <w:tr w:rsidR="00B2303D" w14:paraId="547C6578" w14:textId="77777777" w:rsidTr="00373759">
        <w:tc>
          <w:tcPr>
            <w:tcW w:w="6124" w:type="dxa"/>
          </w:tcPr>
          <w:p w14:paraId="5C7E58AF" w14:textId="14D1CA5E" w:rsidR="00B2303D" w:rsidRDefault="00373759" w:rsidP="00373759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Основная относительная погрешность частоты внутреннего опорного генератора, </w:t>
            </w:r>
            <w:r>
              <w:rPr>
                <w:sz w:val="24"/>
              </w:rPr>
              <w:sym w:font="Symbol" w:char="F064"/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3799" w:type="dxa"/>
          </w:tcPr>
          <w:p w14:paraId="761D135A" w14:textId="66195B96" w:rsidR="00B2303D" w:rsidRPr="0073784F" w:rsidRDefault="00373759" w:rsidP="00373759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>
              <w:rPr>
                <w:sz w:val="24"/>
                <w:lang w:val="en-US"/>
              </w:rPr>
              <w:t>1*10^6</w:t>
            </w:r>
          </w:p>
        </w:tc>
      </w:tr>
    </w:tbl>
    <w:p w14:paraId="78F405BA" w14:textId="20F36D8C" w:rsidR="0073784F" w:rsidRPr="008470C6" w:rsidRDefault="0073784F" w:rsidP="008470C6">
      <w:pPr>
        <w:pStyle w:val="a4"/>
        <w:ind w:firstLine="0"/>
        <w:rPr>
          <w:bCs/>
          <w:szCs w:val="28"/>
        </w:rPr>
      </w:pPr>
      <w:r>
        <w:t xml:space="preserve">Таблица 5.2 – </w:t>
      </w:r>
      <w:r w:rsidR="008470C6" w:rsidRPr="008470C6">
        <w:rPr>
          <w:bCs/>
          <w:szCs w:val="28"/>
        </w:rPr>
        <w:t>Результаты проверки работы частотомера в режиме самоконтроля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1843"/>
        <w:gridCol w:w="2126"/>
      </w:tblGrid>
      <w:tr w:rsidR="008470C6" w14:paraId="3F537853" w14:textId="77777777" w:rsidTr="006F57BF">
        <w:trPr>
          <w:cantSplit/>
        </w:trPr>
        <w:tc>
          <w:tcPr>
            <w:tcW w:w="3969" w:type="dxa"/>
            <w:vMerge w:val="restart"/>
          </w:tcPr>
          <w:p w14:paraId="44C322DD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Частота (период) меток времени, </w:t>
            </w:r>
          </w:p>
          <w:p w14:paraId="0D1D4850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кГц (с)</w:t>
            </w:r>
          </w:p>
        </w:tc>
        <w:tc>
          <w:tcPr>
            <w:tcW w:w="5954" w:type="dxa"/>
            <w:gridSpan w:val="3"/>
          </w:tcPr>
          <w:p w14:paraId="376BD83D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Показания частотомера, кГц при </w:t>
            </w:r>
            <w:r>
              <w:rPr>
                <w:sz w:val="24"/>
              </w:rPr>
              <w:sym w:font="Symbol" w:char="F044"/>
            </w:r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, с</w:t>
            </w:r>
          </w:p>
        </w:tc>
      </w:tr>
      <w:tr w:rsidR="008470C6" w14:paraId="42D17C66" w14:textId="77777777" w:rsidTr="006F57BF">
        <w:trPr>
          <w:cantSplit/>
        </w:trPr>
        <w:tc>
          <w:tcPr>
            <w:tcW w:w="3969" w:type="dxa"/>
            <w:vMerge/>
          </w:tcPr>
          <w:p w14:paraId="003BCBAB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14:paraId="1101057D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1843" w:type="dxa"/>
          </w:tcPr>
          <w:p w14:paraId="6F3C3FE3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126" w:type="dxa"/>
          </w:tcPr>
          <w:p w14:paraId="756BC780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 w:rsidR="008470C6" w14:paraId="0C90E495" w14:textId="77777777" w:rsidTr="006F57BF">
        <w:tc>
          <w:tcPr>
            <w:tcW w:w="3969" w:type="dxa"/>
          </w:tcPr>
          <w:p w14:paraId="799E3B7A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(10</w:t>
            </w:r>
            <w:r>
              <w:rPr>
                <w:sz w:val="24"/>
                <w:vertAlign w:val="superscript"/>
              </w:rPr>
              <w:t>–5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14:paraId="465CC323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6FB6ED74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57C06FE1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470C6" w14:paraId="57F44205" w14:textId="77777777" w:rsidTr="006F57BF">
        <w:tc>
          <w:tcPr>
            <w:tcW w:w="3969" w:type="dxa"/>
          </w:tcPr>
          <w:p w14:paraId="2D9DD370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 (10</w:t>
            </w:r>
            <w:r>
              <w:rPr>
                <w:sz w:val="24"/>
                <w:vertAlign w:val="superscript"/>
              </w:rPr>
              <w:t>–6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14:paraId="1AC54914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1D91527E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6B167786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470C6" w14:paraId="1E2B3648" w14:textId="77777777" w:rsidTr="006F57BF">
        <w:tc>
          <w:tcPr>
            <w:tcW w:w="3969" w:type="dxa"/>
          </w:tcPr>
          <w:p w14:paraId="50959AD9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 (10</w:t>
            </w:r>
            <w:r>
              <w:rPr>
                <w:sz w:val="24"/>
                <w:vertAlign w:val="superscript"/>
              </w:rPr>
              <w:t>–7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14:paraId="1662594A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56083948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148A715A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0E55B5E" w14:textId="24853965" w:rsidR="008470C6" w:rsidRPr="008470C6" w:rsidRDefault="008470C6" w:rsidP="008470C6">
      <w:pPr>
        <w:pStyle w:val="a4"/>
        <w:spacing w:line="240" w:lineRule="auto"/>
        <w:ind w:firstLine="0"/>
        <w:jc w:val="left"/>
        <w:rPr>
          <w:bCs/>
          <w:szCs w:val="22"/>
        </w:rPr>
      </w:pPr>
      <w:r>
        <w:t xml:space="preserve">Таблица 5.3 – </w:t>
      </w:r>
      <w:r w:rsidRPr="008470C6">
        <w:rPr>
          <w:bCs/>
          <w:szCs w:val="22"/>
        </w:rPr>
        <w:t>Результаты исследования зависимости показаний и погрешности</w:t>
      </w:r>
      <w:r>
        <w:rPr>
          <w:bCs/>
          <w:szCs w:val="22"/>
        </w:rPr>
        <w:t xml:space="preserve"> </w:t>
      </w:r>
      <w:r w:rsidRPr="008470C6">
        <w:rPr>
          <w:bCs/>
          <w:szCs w:val="22"/>
        </w:rPr>
        <w:t>частотомера</w:t>
      </w:r>
      <w:r>
        <w:rPr>
          <w:bCs/>
          <w:szCs w:val="22"/>
        </w:rPr>
        <w:t xml:space="preserve"> </w:t>
      </w:r>
      <w:r w:rsidRPr="008470C6">
        <w:rPr>
          <w:bCs/>
          <w:szCs w:val="22"/>
        </w:rPr>
        <w:t>в режиме измерения частоты от времени измерения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648"/>
        <w:gridCol w:w="1701"/>
        <w:gridCol w:w="1701"/>
        <w:gridCol w:w="1701"/>
        <w:gridCol w:w="1701"/>
      </w:tblGrid>
      <w:tr w:rsidR="008470C6" w14:paraId="6766E04F" w14:textId="77777777" w:rsidTr="008470C6">
        <w:trPr>
          <w:cantSplit/>
        </w:trPr>
        <w:tc>
          <w:tcPr>
            <w:tcW w:w="1442" w:type="dxa"/>
            <w:vMerge w:val="restart"/>
          </w:tcPr>
          <w:p w14:paraId="21879D82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  <w:p w14:paraId="6AB23CF2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измерения </w:t>
            </w:r>
            <w:r>
              <w:rPr>
                <w:sz w:val="24"/>
                <w:lang w:val="en-US"/>
              </w:rPr>
              <w:sym w:font="Symbol" w:char="F044"/>
            </w:r>
            <w:r>
              <w:rPr>
                <w:i/>
                <w:sz w:val="24"/>
                <w:lang w:val="en-US"/>
              </w:rPr>
              <w:t>t</w:t>
            </w:r>
            <w:proofErr w:type="gramStart"/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с</w:t>
            </w:r>
          </w:p>
        </w:tc>
        <w:tc>
          <w:tcPr>
            <w:tcW w:w="5050" w:type="dxa"/>
            <w:gridSpan w:val="3"/>
          </w:tcPr>
          <w:p w14:paraId="52D8FD02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  <w:tc>
          <w:tcPr>
            <w:tcW w:w="3402" w:type="dxa"/>
            <w:gridSpan w:val="2"/>
          </w:tcPr>
          <w:p w14:paraId="696F218C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Эксперимент</w:t>
            </w:r>
          </w:p>
        </w:tc>
      </w:tr>
      <w:tr w:rsidR="008470C6" w14:paraId="1E1329E1" w14:textId="77777777" w:rsidTr="008470C6">
        <w:trPr>
          <w:cantSplit/>
        </w:trPr>
        <w:tc>
          <w:tcPr>
            <w:tcW w:w="1442" w:type="dxa"/>
            <w:vMerge/>
          </w:tcPr>
          <w:p w14:paraId="70B8187A" w14:textId="77777777" w:rsidR="008470C6" w:rsidRDefault="008470C6" w:rsidP="006F57BF">
            <w:pPr>
              <w:pStyle w:val="a4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648" w:type="dxa"/>
          </w:tcPr>
          <w:p w14:paraId="61900218" w14:textId="3B2A0E41" w:rsidR="008470C6" w:rsidRDefault="008470C6" w:rsidP="006F57BF">
            <w:pPr>
              <w:pStyle w:val="a4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44"/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, Гц</w:t>
            </w:r>
          </w:p>
        </w:tc>
        <w:tc>
          <w:tcPr>
            <w:tcW w:w="1701" w:type="dxa"/>
          </w:tcPr>
          <w:p w14:paraId="6CAD43A2" w14:textId="3127150C" w:rsidR="008470C6" w:rsidRDefault="008470C6" w:rsidP="006F57BF">
            <w:pPr>
              <w:pStyle w:val="a4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44"/>
            </w:r>
            <w:proofErr w:type="spellStart"/>
            <w:r>
              <w:rPr>
                <w:vertAlign w:val="subscript"/>
              </w:rPr>
              <w:t>кв</w:t>
            </w:r>
            <w:proofErr w:type="spellEnd"/>
            <w:r>
              <w:rPr>
                <w:sz w:val="24"/>
              </w:rPr>
              <w:t>, Гц</w:t>
            </w:r>
          </w:p>
        </w:tc>
        <w:tc>
          <w:tcPr>
            <w:tcW w:w="1701" w:type="dxa"/>
          </w:tcPr>
          <w:p w14:paraId="4E0893CA" w14:textId="70D2E8BB" w:rsidR="008470C6" w:rsidRDefault="008470C6" w:rsidP="006F57BF">
            <w:pPr>
              <w:pStyle w:val="a4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sym w:font="Symbol" w:char="F044"/>
            </w:r>
            <w:r>
              <w:rPr>
                <w:i/>
                <w:vertAlign w:val="subscript"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sym w:font="Symbol" w:char="F053"/>
            </w:r>
            <w:r>
              <w:t xml:space="preserve">, </w:t>
            </w:r>
            <w:r w:rsidR="00614BF5" w:rsidRPr="00614BF5">
              <w:rPr>
                <w:sz w:val="24"/>
                <w:szCs w:val="18"/>
              </w:rPr>
              <w:t>к</w:t>
            </w:r>
            <w:r>
              <w:rPr>
                <w:sz w:val="24"/>
              </w:rPr>
              <w:t>Гц</w:t>
            </w:r>
          </w:p>
        </w:tc>
        <w:tc>
          <w:tcPr>
            <w:tcW w:w="1701" w:type="dxa"/>
          </w:tcPr>
          <w:p w14:paraId="3A1A82A0" w14:textId="3E8832CA" w:rsidR="008470C6" w:rsidRDefault="008470C6" w:rsidP="006F57BF">
            <w:pPr>
              <w:pStyle w:val="a4"/>
              <w:spacing w:before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>
              <w:rPr>
                <w:sz w:val="24"/>
              </w:rPr>
              <w:t>, кГц</w:t>
            </w:r>
          </w:p>
        </w:tc>
        <w:tc>
          <w:tcPr>
            <w:tcW w:w="1701" w:type="dxa"/>
          </w:tcPr>
          <w:p w14:paraId="26121097" w14:textId="05E2C557" w:rsidR="008470C6" w:rsidRDefault="008470C6" w:rsidP="006F57BF">
            <w:pPr>
              <w:pStyle w:val="a4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44"/>
            </w:r>
            <w:r>
              <w:rPr>
                <w:i/>
                <w:sz w:val="24"/>
                <w:vertAlign w:val="subscript"/>
                <w:lang w:val="en-US"/>
              </w:rPr>
              <w:t>f</w:t>
            </w:r>
            <w:r>
              <w:rPr>
                <w:sz w:val="24"/>
                <w:vertAlign w:val="subscript"/>
              </w:rPr>
              <w:t xml:space="preserve"> экс</w:t>
            </w:r>
            <w:r>
              <w:rPr>
                <w:sz w:val="24"/>
              </w:rPr>
              <w:t>, кГц</w:t>
            </w:r>
          </w:p>
        </w:tc>
      </w:tr>
      <w:tr w:rsidR="008470C6" w14:paraId="33C05FC4" w14:textId="77777777" w:rsidTr="008470C6">
        <w:tc>
          <w:tcPr>
            <w:tcW w:w="1442" w:type="dxa"/>
          </w:tcPr>
          <w:p w14:paraId="603A58FB" w14:textId="77777777" w:rsidR="008470C6" w:rsidRDefault="008470C6" w:rsidP="006F57BF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8" w:type="dxa"/>
          </w:tcPr>
          <w:p w14:paraId="39747086" w14:textId="0DDCAF56" w:rsidR="008470C6" w:rsidRPr="00614BF5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±</w:t>
            </w:r>
            <w:r w:rsidR="00614BF5">
              <w:rPr>
                <w:sz w:val="24"/>
                <w:lang w:val="en-US"/>
              </w:rPr>
              <w:t>0.15</w:t>
            </w:r>
          </w:p>
        </w:tc>
        <w:tc>
          <w:tcPr>
            <w:tcW w:w="1701" w:type="dxa"/>
          </w:tcPr>
          <w:p w14:paraId="430D8844" w14:textId="35776363" w:rsidR="008470C6" w:rsidRP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±</w:t>
            </w: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79316C65" w14:textId="225B299A" w:rsidR="008470C6" w:rsidRPr="008C4500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EC6FAA">
              <w:rPr>
                <w:sz w:val="24"/>
              </w:rPr>
              <w:t>0</w:t>
            </w:r>
            <w:r w:rsidR="00EC6FAA">
              <w:rPr>
                <w:sz w:val="24"/>
                <w:lang w:val="en-US"/>
              </w:rPr>
              <w:t>.</w:t>
            </w:r>
            <w:r w:rsidR="008C4500">
              <w:rPr>
                <w:sz w:val="24"/>
              </w:rPr>
              <w:t>000</w:t>
            </w:r>
            <w:r w:rsidR="00EC6FAA">
              <w:rPr>
                <w:sz w:val="24"/>
                <w:lang w:val="en-US"/>
              </w:rPr>
              <w:t>2</w:t>
            </w:r>
            <w:r w:rsidR="005636E4">
              <w:rPr>
                <w:sz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8185AC5" w14:textId="66375075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95F2FFA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470C6" w14:paraId="246B38CA" w14:textId="77777777" w:rsidTr="008470C6">
        <w:tc>
          <w:tcPr>
            <w:tcW w:w="1442" w:type="dxa"/>
          </w:tcPr>
          <w:p w14:paraId="7626A2CA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648" w:type="dxa"/>
          </w:tcPr>
          <w:p w14:paraId="43400F40" w14:textId="09103706" w:rsidR="008470C6" w:rsidRPr="00614BF5" w:rsidRDefault="008470C6" w:rsidP="00614BF5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</w:rPr>
              <w:t>±</w:t>
            </w:r>
            <w:r w:rsidR="00614BF5">
              <w:rPr>
                <w:sz w:val="24"/>
                <w:lang w:val="en-US"/>
              </w:rPr>
              <w:t>0.15</w:t>
            </w:r>
          </w:p>
        </w:tc>
        <w:tc>
          <w:tcPr>
            <w:tcW w:w="1701" w:type="dxa"/>
          </w:tcPr>
          <w:p w14:paraId="0B95EB6F" w14:textId="154C8A4E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1175CB5B" w14:textId="531E6097" w:rsidR="008470C6" w:rsidRPr="00614BF5" w:rsidRDefault="00EC6FAA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8C4500">
              <w:rPr>
                <w:sz w:val="24"/>
              </w:rPr>
              <w:t>0</w:t>
            </w:r>
            <w:r w:rsidR="008C4500">
              <w:rPr>
                <w:sz w:val="24"/>
                <w:lang w:val="en-US"/>
              </w:rPr>
              <w:t>.00</w:t>
            </w:r>
            <w:r>
              <w:rPr>
                <w:sz w:val="24"/>
                <w:lang w:val="en-US"/>
              </w:rPr>
              <w:t>1</w:t>
            </w:r>
            <w:r w:rsidR="00614BF5">
              <w:rPr>
                <w:sz w:val="24"/>
              </w:rPr>
              <w:t>2</w:t>
            </w:r>
          </w:p>
        </w:tc>
        <w:tc>
          <w:tcPr>
            <w:tcW w:w="1701" w:type="dxa"/>
          </w:tcPr>
          <w:p w14:paraId="6F072737" w14:textId="73168286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00785BED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470C6" w14:paraId="3F619470" w14:textId="77777777" w:rsidTr="008470C6">
        <w:tc>
          <w:tcPr>
            <w:tcW w:w="1442" w:type="dxa"/>
          </w:tcPr>
          <w:p w14:paraId="406E5EDF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–1</w:t>
            </w:r>
          </w:p>
        </w:tc>
        <w:tc>
          <w:tcPr>
            <w:tcW w:w="1648" w:type="dxa"/>
          </w:tcPr>
          <w:p w14:paraId="653A6CE9" w14:textId="0A3CC19B" w:rsidR="008470C6" w:rsidRPr="00614BF5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±</w:t>
            </w:r>
            <w:r w:rsidR="00614BF5">
              <w:rPr>
                <w:sz w:val="24"/>
                <w:lang w:val="en-US"/>
              </w:rPr>
              <w:t>0.15</w:t>
            </w:r>
          </w:p>
        </w:tc>
        <w:tc>
          <w:tcPr>
            <w:tcW w:w="1701" w:type="dxa"/>
          </w:tcPr>
          <w:p w14:paraId="0D710B5A" w14:textId="3933FFBE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44CD33F7" w14:textId="1758BADC" w:rsidR="008470C6" w:rsidRDefault="00EC6FAA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8C4500">
              <w:rPr>
                <w:sz w:val="24"/>
                <w:lang w:val="en-US"/>
              </w:rPr>
              <w:t>0.01</w:t>
            </w:r>
          </w:p>
        </w:tc>
        <w:tc>
          <w:tcPr>
            <w:tcW w:w="1701" w:type="dxa"/>
          </w:tcPr>
          <w:p w14:paraId="0F4F7462" w14:textId="419A4FB5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76308B6C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470C6" w14:paraId="1B88A847" w14:textId="77777777" w:rsidTr="008470C6">
        <w:trPr>
          <w:trHeight w:val="89"/>
        </w:trPr>
        <w:tc>
          <w:tcPr>
            <w:tcW w:w="1442" w:type="dxa"/>
          </w:tcPr>
          <w:p w14:paraId="1D885D3D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–2</w:t>
            </w:r>
          </w:p>
        </w:tc>
        <w:tc>
          <w:tcPr>
            <w:tcW w:w="1648" w:type="dxa"/>
          </w:tcPr>
          <w:p w14:paraId="136DAAC1" w14:textId="1791CDE8" w:rsidR="008470C6" w:rsidRPr="00614BF5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±</w:t>
            </w:r>
            <w:r w:rsidR="00614BF5">
              <w:rPr>
                <w:sz w:val="24"/>
                <w:lang w:val="en-US"/>
              </w:rPr>
              <w:t>0.15</w:t>
            </w:r>
          </w:p>
        </w:tc>
        <w:tc>
          <w:tcPr>
            <w:tcW w:w="1701" w:type="dxa"/>
          </w:tcPr>
          <w:p w14:paraId="713C6D6D" w14:textId="48938054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1701" w:type="dxa"/>
          </w:tcPr>
          <w:p w14:paraId="363EDB18" w14:textId="5EFBDFDB" w:rsidR="008470C6" w:rsidRDefault="00EC6FAA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8C4500">
              <w:rPr>
                <w:sz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24680229" w14:textId="57F0A480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5279B96" w14:textId="77777777" w:rsidR="008470C6" w:rsidRDefault="008470C6" w:rsidP="008470C6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3295C34" w14:textId="59EF0EDF" w:rsidR="008470C6" w:rsidRPr="000B5845" w:rsidRDefault="008470C6" w:rsidP="008470C6">
      <w:pPr>
        <w:pStyle w:val="a4"/>
        <w:ind w:firstLine="0"/>
      </w:pPr>
    </w:p>
    <w:sectPr w:rsidR="008470C6" w:rsidRPr="000B5845" w:rsidSect="00BC5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3DF0"/>
    <w:multiLevelType w:val="hybridMultilevel"/>
    <w:tmpl w:val="D51C2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B6315"/>
    <w:multiLevelType w:val="hybridMultilevel"/>
    <w:tmpl w:val="F23ED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6F86"/>
    <w:multiLevelType w:val="hybridMultilevel"/>
    <w:tmpl w:val="60F29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B695C"/>
    <w:multiLevelType w:val="hybridMultilevel"/>
    <w:tmpl w:val="96782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6607B"/>
    <w:multiLevelType w:val="hybridMultilevel"/>
    <w:tmpl w:val="507E4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97"/>
    <w:rsid w:val="000108DB"/>
    <w:rsid w:val="00080930"/>
    <w:rsid w:val="000B5845"/>
    <w:rsid w:val="0010659E"/>
    <w:rsid w:val="00320197"/>
    <w:rsid w:val="00373759"/>
    <w:rsid w:val="00415BFB"/>
    <w:rsid w:val="00555935"/>
    <w:rsid w:val="005636E4"/>
    <w:rsid w:val="00614BF5"/>
    <w:rsid w:val="00622283"/>
    <w:rsid w:val="00712F47"/>
    <w:rsid w:val="0073784F"/>
    <w:rsid w:val="00804C00"/>
    <w:rsid w:val="008470C6"/>
    <w:rsid w:val="008C4500"/>
    <w:rsid w:val="00A038C4"/>
    <w:rsid w:val="00B2303D"/>
    <w:rsid w:val="00BC5F17"/>
    <w:rsid w:val="00C55F25"/>
    <w:rsid w:val="00E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4917"/>
  <w15:chartTrackingRefBased/>
  <w15:docId w15:val="{D139599C-E8DC-41A2-B3B5-8B886176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B5845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0B5845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F17"/>
    <w:pPr>
      <w:ind w:left="720"/>
      <w:contextualSpacing/>
    </w:pPr>
  </w:style>
  <w:style w:type="paragraph" w:styleId="a4">
    <w:name w:val="Body Text Indent"/>
    <w:basedOn w:val="a"/>
    <w:link w:val="a5"/>
    <w:semiHidden/>
    <w:rsid w:val="00BC5F17"/>
    <w:pPr>
      <w:tabs>
        <w:tab w:val="right" w:pos="993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C5F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0B5845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0B584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B5845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B584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373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D72F9-F5BA-9E4B-A545-5B0A956C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Microsoft Office</cp:lastModifiedBy>
  <cp:revision>20</cp:revision>
  <dcterms:created xsi:type="dcterms:W3CDTF">2020-09-10T06:26:00Z</dcterms:created>
  <dcterms:modified xsi:type="dcterms:W3CDTF">2020-11-26T07:27:00Z</dcterms:modified>
</cp:coreProperties>
</file>