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120" w:before="120"/>
        <w:jc w:val="center"/>
      </w:pPr>
      <w:r>
        <w:rPr>
          <w:rFonts w:ascii="Arial" w:cs="Arial" w:eastAsia="Arial" w:hAnsi="Arial"/>
          <w:b/>
          <w:bCs/>
          <w:i w:val="false"/>
          <w:iCs w:val="false"/>
          <w:color w:val="C9A84C"/>
          <w:sz w:val="120"/>
          <w:szCs w:val="120"/>
        </w:rPr>
        <w:t xml:space="preserve">AA2</w:t>
      </w:r>
    </w:p>
    <w:p>
      <w:pPr>
        <w:spacing w:after="120" w:before="120"/>
        <w:jc w:val="center"/>
      </w:pPr>
      <w:r>
        <w:rPr>
          <w:rFonts w:ascii="Arial" w:cs="Arial" w:eastAsia="Arial" w:hAnsi="Arial"/>
          <w:b/>
          <w:bCs/>
          <w:i w:val="false"/>
          <w:iCs w:val="false"/>
          <w:color w:val="FFFFFF"/>
          <w:sz w:val="32"/>
          <w:szCs w:val="32"/>
        </w:rPr>
        <w:t xml:space="preserve">ADAPTIVE ADVANTAGE LABORATORIES</w:t>
      </w:r>
    </w:p>
    <w:p>
      <w:pPr>
        <w:spacing w:after="120" w:before="120"/>
        <w:jc w:val="center"/>
      </w:pPr>
      <w:r>
        <w:rPr>
          <w:rFonts w:ascii="Arial" w:cs="Arial" w:eastAsia="Arial" w:hAnsi="Arial"/>
          <w:b w:val="false"/>
          <w:bCs w:val="false"/>
          <w:i w:val="false"/>
          <w:iCs w:val="false"/>
          <w:color w:val="999999"/>
          <w:sz w:val="24"/>
          <w:szCs w:val="24"/>
        </w:rPr>
        <w:t xml:space="preserve">S.A. · Panama</w:t>
      </w:r>
    </w:p>
    <w:p>
      <w:pPr>
        <w:pBdr>
          <w:bottom w:val="single" w:color="C9A84C" w:sz="8"/>
        </w:pBdr>
        <w:spacing w:after="280" w:before="280"/>
      </w:pPr>
      <w:r>
        <w:t xml:space="preserve"/>
      </w:r>
    </w:p>
    <w:p>
      <w:pPr>
        <w:spacing w:after="120" w:before="120"/>
        <w:jc w:val="center"/>
      </w:pPr>
      <w:r>
        <w:rPr>
          <w:rFonts w:ascii="Arial" w:cs="Arial" w:eastAsia="Arial" w:hAnsi="Arial"/>
          <w:b/>
          <w:bCs/>
          <w:i w:val="false"/>
          <w:iCs w:val="false"/>
          <w:color w:val="C9A84C"/>
          <w:sz w:val="36"/>
          <w:szCs w:val="36"/>
        </w:rPr>
        <w:t xml:space="preserve">MASTER CANON — VERSION 12</w:t>
      </w:r>
    </w:p>
    <w:p>
      <w:pPr>
        <w:spacing w:after="120" w:before="120"/>
        <w:jc w:val="center"/>
      </w:pPr>
      <w:r>
        <w:rPr>
          <w:rFonts w:ascii="Arial" w:cs="Arial" w:eastAsia="Arial" w:hAnsi="Arial"/>
          <w:b/>
          <w:bCs/>
          <w:i w:val="false"/>
          <w:iCs w:val="false"/>
          <w:color w:val="8B0000"/>
          <w:sz w:val="22"/>
          <w:szCs w:val="22"/>
        </w:rPr>
        <w:t xml:space="preserve">INTERNAL DOCUMENT — NOT FOR PUBLIC DISTRIBUTION</w:t>
      </w:r>
    </w:p>
    <w:p>
      <w:pPr>
        <w:spacing w:after="120" w:before="120"/>
        <w:jc w:val="center"/>
      </w:pPr>
      <w:r>
        <w:rPr>
          <w:rFonts w:ascii="Arial" w:cs="Arial" w:eastAsia="Arial" w:hAnsi="Arial"/>
          <w:b w:val="false"/>
          <w:bCs w:val="false"/>
          <w:i w:val="false"/>
          <w:iCs w:val="false"/>
          <w:color w:val="999999"/>
          <w:sz w:val="24"/>
          <w:szCs w:val="24"/>
        </w:rPr>
        <w:t xml:space="preserve">BioMesh Membrane · Living Operating System</w:t>
      </w:r>
    </w:p>
    <w:p>
      <w:pPr>
        <w:spacing w:after="0" w:before="240"/>
      </w:pPr>
      <w:r>
        <w:t xml:space="preserve"/>
      </w:r>
    </w:p>
    <w:p>
      <w:pPr>
        <w:pBdr>
          <w:top w:val="single" w:color="C9A84C" w:sz="1"/>
          <w:left w:val="single" w:color="C9A84C" w:sz="20"/>
          <w:bottom w:val="single" w:color="C9A84C" w:sz="1"/>
          <w:right w:val="single" w:color="C9A84C" w:sz="1"/>
        </w:pBdr>
        <w:shd w:fill="0A1628" w:val="clear"/>
        <w:spacing w:after="120" w:before="240"/>
        <w:ind w:left="200" w:right="200"/>
      </w:pPr>
      <w:r>
        <w:rPr>
          <w:rFonts w:ascii="Arial" w:cs="Arial" w:eastAsia="Arial" w:hAnsi="Arial"/>
          <w:b/>
          <w:bCs/>
          <w:color w:val="FFFFFF"/>
          <w:sz w:val="36"/>
          <w:szCs w:val="36"/>
        </w:rPr>
        <w:t xml:space="preserve">James R. Pitts II</w:t>
      </w:r>
    </w:p>
    <w:p>
      <w:pPr>
        <w:pBdr>
          <w:left w:val="single" w:color="C9A84C" w:sz="20"/>
          <w:right w:val="single" w:color="C9A84C" w:sz="1"/>
        </w:pBdr>
        <w:shd w:fill="0A1628" w:val="clear"/>
        <w:spacing w:after="0" w:before="0"/>
        <w:ind w:left="200" w:right="200"/>
      </w:pPr>
      <w:r>
        <w:rPr>
          <w:rFonts w:ascii="Arial" w:cs="Arial" w:eastAsia="Arial" w:hAnsi="Arial"/>
          <w:b/>
          <w:bCs/>
          <w:color w:val="C9A84C"/>
          <w:sz w:val="28"/>
          <w:szCs w:val="28"/>
        </w:rPr>
        <w:t xml:space="preserve">Applied Biosignal Scientist</w:t>
      </w:r>
    </w:p>
    <w:p>
      <w:pPr>
        <w:pBdr>
          <w:left w:val="single" w:color="C9A84C" w:sz="20"/>
          <w:right w:val="single" w:color="C9A84C" w:sz="1"/>
        </w:pBdr>
        <w:shd w:fill="0A1628" w:val="clear"/>
        <w:spacing w:after="0" w:before="0"/>
        <w:ind w:left="200" w:right="200"/>
      </w:pPr>
      <w:r>
        <w:rPr>
          <w:rFonts w:ascii="Arial" w:cs="Arial" w:eastAsia="Arial" w:hAnsi="Arial"/>
          <w:color w:val="CCCCCC"/>
          <w:sz w:val="24"/>
          <w:szCs w:val="24"/>
        </w:rPr>
        <w:t xml:space="preserve">Field Creator — Applied Biosignal Science (ABS)</w:t>
      </w:r>
    </w:p>
    <w:p>
      <w:pPr>
        <w:pBdr>
          <w:left w:val="single" w:color="C9A84C" w:sz="20"/>
          <w:right w:val="single" w:color="C9A84C" w:sz="1"/>
        </w:pBdr>
        <w:shd w:fill="0A1628" w:val="clear"/>
        <w:spacing w:after="0" w:before="0"/>
        <w:ind w:left="200" w:right="200"/>
      </w:pPr>
      <w:r>
        <w:rPr>
          <w:rFonts w:ascii="Arial" w:cs="Arial" w:eastAsia="Arial" w:hAnsi="Arial"/>
          <w:color w:val="CCCCCC"/>
          <w:sz w:val="24"/>
          <w:szCs w:val="24"/>
        </w:rPr>
        <w:t xml:space="preserve">Category Creator — Adaptive Biosignal Interpretation Systems</w:t>
      </w:r>
    </w:p>
    <w:p>
      <w:pPr>
        <w:pBdr>
          <w:left w:val="single" w:color="C9A84C" w:sz="20"/>
          <w:right w:val="single" w:color="C9A84C" w:sz="1"/>
        </w:pBdr>
        <w:shd w:fill="0A1628" w:val="clear"/>
        <w:spacing w:after="0" w:before="0"/>
        <w:ind w:left="200" w:right="200"/>
      </w:pPr>
      <w:r>
        <w:rPr>
          <w:rFonts w:ascii="Arial" w:cs="Arial" w:eastAsia="Arial" w:hAnsi="Arial"/>
          <w:color w:val="CCCCCC"/>
          <w:sz w:val="24"/>
          <w:szCs w:val="24"/>
        </w:rPr>
        <w:t xml:space="preserve">Laboratory &amp; Studies — Adaptive Biosignal Interpretation Systems</w:t>
      </w:r>
    </w:p>
    <w:p>
      <w:pPr>
        <w:pBdr>
          <w:left w:val="single" w:color="C9A84C" w:sz="20"/>
          <w:right w:val="single" w:color="C9A84C" w:sz="1"/>
        </w:pBdr>
        <w:shd w:fill="0A1628" w:val="clear"/>
        <w:spacing w:after="0" w:before="0"/>
        <w:ind w:left="200" w:right="200"/>
      </w:pPr>
      <w:r>
        <w:rPr>
          <w:rFonts w:ascii="Arial" w:cs="Arial" w:eastAsia="Arial" w:hAnsi="Arial"/>
          <w:color w:val="CCCCCC"/>
          <w:sz w:val="24"/>
          <w:szCs w:val="24"/>
        </w:rPr>
        <w:t xml:space="preserve">Founder &amp; Living Reference — Adaptive Advantage (AA2)</w:t>
      </w:r>
    </w:p>
    <w:p>
      <w:pPr>
        <w:pBdr>
          <w:left w:val="single" w:color="C9A84C" w:sz="20"/>
          <w:bottom w:val="single" w:color="C9A84C" w:sz="1"/>
          <w:right w:val="single" w:color="C9A84C" w:sz="1"/>
        </w:pBdr>
        <w:shd w:fill="0A1628" w:val="clear"/>
        <w:spacing w:after="120" w:before="0"/>
        <w:ind w:left="200" w:right="200"/>
      </w:pPr>
      <w:r>
        <w:rPr>
          <w:rFonts w:ascii="Arial" w:cs="Arial" w:eastAsia="Arial" w:hAnsi="Arial"/>
          <w:color w:val="CCCCCC"/>
          <w:sz w:val="24"/>
          <w:szCs w:val="24"/>
        </w:rPr>
        <w:t xml:space="preserve">Highly Adaptive Communicator</w:t>
      </w:r>
    </w:p>
    <w:p>
      <w:pPr>
        <w:spacing w:after="120" w:before="240"/>
      </w:pPr>
      <w:r>
        <w:t xml:space="preserve"/>
      </w:r>
    </w:p>
    <w:p>
      <w:pPr>
        <w:spacing w:after="120" w:before="120"/>
        <w:jc w:val="center"/>
      </w:pPr>
      <w:r>
        <w:rPr>
          <w:rFonts w:ascii="Arial" w:cs="Arial" w:eastAsia="Arial" w:hAnsi="Arial"/>
          <w:b w:val="false"/>
          <w:bCs w:val="false"/>
          <w:i w:val="false"/>
          <w:iCs w:val="false"/>
          <w:color w:val="999999"/>
          <w:sz w:val="22"/>
          <w:szCs w:val="22"/>
        </w:rPr>
        <w:t xml:space="preserve">Sealed: March 11, 2026 · 32 Patents Pending</w:t>
      </w:r>
    </w:p>
    <w:p>
      <w:pPr>
        <w:spacing w:after="120" w:before="120"/>
        <w:jc w:val="center"/>
      </w:pPr>
      <w:r>
        <w:rPr>
          <w:rFonts w:ascii="Arial" w:cs="Arial" w:eastAsia="Arial" w:hAnsi="Arial"/>
          <w:b w:val="false"/>
          <w:bCs w:val="false"/>
          <w:i w:val="false"/>
          <w:iCs w:val="false"/>
          <w:color w:val="999999"/>
          <w:sz w:val="22"/>
          <w:szCs w:val="22"/>
        </w:rPr>
        <w:t xml:space="preserve">Dr. Field LAB Est. January 1, 2026</w:t>
      </w:r>
    </w:p>
    <w:p>
      <w:pPr>
        <w:spacing w:after="240" w:before="240"/>
      </w:pPr>
      <w:r>
        <w:t xml:space="preserve"/>
      </w:r>
    </w:p>
    <w:p>
      <w:pPr>
        <w:spacing w:after="120" w:before="120"/>
        <w:jc w:val="center"/>
      </w:pPr>
      <w:r>
        <w:rPr>
          <w:rFonts w:ascii="Arial" w:cs="Arial" w:eastAsia="Arial" w:hAnsi="Arial"/>
          <w:b/>
          <w:bCs/>
          <w:i/>
          <w:iCs/>
          <w:color w:val="C9A84C"/>
          <w:sz w:val="40"/>
          <w:szCs w:val="40"/>
        </w:rPr>
        <w:t xml:space="preserve">"I AM THE RECEIPT."</w:t>
      </w:r>
    </w:p>
    <w:p>
      <w:pPr>
        <w:pBdr>
          <w:bottom w:val="single" w:color="C9A84C" w:sz="8"/>
        </w:pBdr>
        <w:spacing w:after="280" w:before="280"/>
      </w:pPr>
      <w:r>
        <w:t xml:space="preserve"/>
      </w:r>
    </w:p>
    <w:p>
      <w:r>
        <w:br w:type="page"/>
      </w:r>
    </w:p>
    <w:p>
      <w:pPr>
        <w:pStyle w:val="Heading1"/>
        <w:spacing w:after="240" w:before="560"/>
      </w:pPr>
      <w:r>
        <w:rPr>
          <w:rFonts w:ascii="Arial" w:cs="Arial" w:eastAsia="Arial" w:hAnsi="Arial"/>
          <w:b/>
          <w:bCs/>
          <w:color w:val="C9A84C"/>
          <w:sz w:val="40"/>
          <w:szCs w:val="40"/>
        </w:rPr>
        <w:t xml:space="preserve">CLASSIFICATION NOTICE</w:t>
      </w:r>
    </w:p>
    <w:p>
      <w:pPr>
        <w:pBdr>
          <w:top w:val="single" w:color="C9A84C" w:sz="1"/>
          <w:left w:val="single" w:color="8B0000" w:sz="20"/>
          <w:bottom w:val="single" w:color="C9A84C" w:sz="1"/>
          <w:right w:val="single" w:color="8B0000" w:sz="1"/>
        </w:pBdr>
        <w:shd w:fill="1A0000" w:val="clear"/>
        <w:spacing w:after="160" w:before="160"/>
        <w:ind w:left="200"/>
      </w:pPr>
      <w:r>
        <w:rPr>
          <w:rFonts w:ascii="Arial" w:cs="Arial" w:eastAsia="Arial" w:hAnsi="Arial"/>
          <w:b/>
          <w:bCs/>
          <w:color w:val="8B0000"/>
          <w:sz w:val="26"/>
          <w:szCs w:val="26"/>
        </w:rPr>
        <w:t xml:space="preserve">INTERNAL DOCUMENT — TWO DOCUMENT ARCHITECTURE</w:t>
      </w:r>
    </w:p>
    <w:p>
      <w:pPr>
        <w:spacing w:after="120" w:before="120"/>
      </w:pPr>
      <w:r>
        <w:rPr>
          <w:rFonts w:ascii="Arial" w:cs="Arial" w:eastAsia="Arial" w:hAnsi="Arial"/>
          <w:color w:val="CCCCCC"/>
          <w:sz w:val="22"/>
          <w:szCs w:val="22"/>
        </w:rPr>
        <w:t xml:space="preserve">This is Canon v12 Internal. It contains the complete philosophical foundation, legal architecture, scientific methodology, strategic doctrine, and origin story of AA2. This document is for:</w:t>
      </w:r>
    </w:p>
    <w:p>
      <w:pPr>
        <w:pStyle w:val="ListParagraph"/>
        <w:numPr>
          <w:ilvl w:val="0"/>
          <w:numId w:val="2"/>
        </w:numPr>
        <w:spacing w:after="80" w:before="80"/>
      </w:pPr>
      <w:r>
        <w:rPr>
          <w:rFonts w:ascii="Arial" w:cs="Arial" w:eastAsia="Arial" w:hAnsi="Arial"/>
          <w:b w:val="false"/>
          <w:bCs w:val="false"/>
          <w:color w:val="CCCCCC"/>
          <w:sz w:val="22"/>
          <w:szCs w:val="22"/>
        </w:rPr>
        <w:t xml:space="preserve">James R. Pitts II — the founder and living reference</w:t>
      </w:r>
    </w:p>
    <w:p>
      <w:pPr>
        <w:pStyle w:val="ListParagraph"/>
        <w:numPr>
          <w:ilvl w:val="0"/>
          <w:numId w:val="2"/>
        </w:numPr>
        <w:spacing w:after="80" w:before="80"/>
      </w:pPr>
      <w:r>
        <w:rPr>
          <w:rFonts w:ascii="Arial" w:cs="Arial" w:eastAsia="Arial" w:hAnsi="Arial"/>
          <w:b w:val="false"/>
          <w:bCs w:val="false"/>
          <w:color w:val="CCCCCC"/>
          <w:sz w:val="22"/>
          <w:szCs w:val="22"/>
        </w:rPr>
        <w:t xml:space="preserve">Legal counsel preparing patents, trademarks, and IP filings</w:t>
      </w:r>
    </w:p>
    <w:p>
      <w:pPr>
        <w:pStyle w:val="ListParagraph"/>
        <w:numPr>
          <w:ilvl w:val="0"/>
          <w:numId w:val="2"/>
        </w:numPr>
        <w:spacing w:after="80" w:before="80"/>
      </w:pPr>
      <w:r>
        <w:rPr>
          <w:rFonts w:ascii="Arial" w:cs="Arial" w:eastAsia="Arial" w:hAnsi="Arial"/>
          <w:b w:val="false"/>
          <w:bCs w:val="false"/>
          <w:color w:val="CCCCCC"/>
          <w:sz w:val="22"/>
          <w:szCs w:val="22"/>
        </w:rPr>
        <w:t xml:space="preserve">Government and institutional procurement review under NDA</w:t>
      </w:r>
    </w:p>
    <w:p>
      <w:pPr>
        <w:pStyle w:val="ListParagraph"/>
        <w:numPr>
          <w:ilvl w:val="0"/>
          <w:numId w:val="2"/>
        </w:numPr>
        <w:spacing w:after="80" w:before="80"/>
      </w:pPr>
      <w:r>
        <w:rPr>
          <w:rFonts w:ascii="Arial" w:cs="Arial" w:eastAsia="Arial" w:hAnsi="Arial"/>
          <w:b w:val="false"/>
          <w:bCs w:val="false"/>
          <w:color w:val="CCCCCC"/>
          <w:sz w:val="22"/>
          <w:szCs w:val="22"/>
        </w:rPr>
        <w:t xml:space="preserve">Future trusted partners under signed non-disclosure agreement</w:t>
      </w:r>
    </w:p>
    <w:p>
      <w:pPr>
        <w:pStyle w:val="ListParagraph"/>
        <w:numPr>
          <w:ilvl w:val="0"/>
          <w:numId w:val="2"/>
        </w:numPr>
        <w:spacing w:after="80" w:before="80"/>
      </w:pPr>
      <w:r>
        <w:rPr>
          <w:rFonts w:ascii="Arial" w:cs="Arial" w:eastAsia="Arial" w:hAnsi="Arial"/>
          <w:b w:val="false"/>
          <w:bCs w:val="false"/>
          <w:color w:val="CCCCCC"/>
          <w:sz w:val="22"/>
          <w:szCs w:val="22"/>
        </w:rPr>
        <w:t xml:space="preserve">The courts if prior art, original authorship, or intent is ever disputed</w:t>
      </w:r>
    </w:p>
    <w:p>
      <w:pPr>
        <w:spacing w:after="120" w:before="120"/>
      </w:pPr>
      <w:r>
        <w:rPr>
          <w:rFonts w:ascii="Arial" w:cs="Arial" w:eastAsia="Arial" w:hAnsi="Arial"/>
          <w:color w:val="CCCCCC"/>
          <w:sz w:val="22"/>
          <w:szCs w:val="22"/>
        </w:rPr>
        <w:t xml:space="preserve">A separate public-facing document exists for consumer and market communication. The public sees the membrane working. The institutions see the philosophy that built it. The courts see the documentation that proves it was always intentional. The initiates see all three.</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"The Pyramid doesn't explain its engineering to tourists. The initiates already know. The tourists just feel its power and cannot explain why."</w:t>
      </w:r>
    </w:p>
    <w:p>
      <w:pPr>
        <w:pBdr>
          <w:bottom w:val="single" w:color="C9A84C" w:sz="8"/>
        </w:pBdr>
        <w:spacing w:after="280" w:before="280"/>
      </w:pPr>
      <w:r>
        <w:t xml:space="preserve"/>
      </w:r>
    </w:p>
    <w:p>
      <w:r>
        <w:br w:type="page"/>
      </w:r>
    </w:p>
    <w:p>
      <w:pPr>
        <w:pStyle w:val="Heading1"/>
        <w:spacing w:after="240" w:before="560"/>
      </w:pPr>
      <w:r>
        <w:rPr>
          <w:rFonts w:ascii="Arial" w:cs="Arial" w:eastAsia="Arial" w:hAnsi="Arial"/>
          <w:b/>
          <w:bCs/>
          <w:color w:val="C9A84C"/>
          <w:sz w:val="40"/>
          <w:szCs w:val="40"/>
        </w:rPr>
        <w:t xml:space="preserve">SECTION 1 — SESSION TRANSFER BRIEFING</w:t>
      </w:r>
    </w:p>
    <w:p>
      <w:pPr>
        <w:spacing w:after="120" w:before="120"/>
      </w:pPr>
      <w:r>
        <w:rPr>
          <w:rFonts w:ascii="Arial" w:cs="Arial" w:eastAsia="Arial" w:hAnsi="Arial"/>
          <w:color w:val="CCCCCC"/>
          <w:sz w:val="22"/>
          <w:szCs w:val="22"/>
        </w:rPr>
        <w:t xml:space="preserve">This document is a complete context transfer from the March 11, 2026 build session — the single most comprehensive doctrine session in AA2's history. Every doctrine, legal architecture, philosophical root, strategic insight, and canonical lock from that session is preserved here in full. A new Claude session or any briefed party reading this document is fully context-loaded and ready to continue the build without losing a single thread.</w:t>
      </w:r>
    </w:p>
    <w:p>
      <w:pPr>
        <w:spacing w:after="120" w:before="120"/>
      </w:pPr>
      <w:r>
        <w:rPr>
          <w:rFonts w:ascii="Arial" w:cs="Arial" w:eastAsia="Arial" w:hAnsi="Arial"/>
          <w:color w:val="CCCCCC"/>
          <w:sz w:val="22"/>
          <w:szCs w:val="22"/>
        </w:rPr>
        <w:t xml:space="preserve">What was revealed in this session had been live-tested for 90 days before a single word was spoken. The founder came not with an idea but with a completed philosophy, a running laboratory, a full hardware stack, a legal architecture already thought through, a licensing strategy already formed, a brand already built, and a family ecosystem already serving as the live proof of concept.</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"You did not come to build. You came to reveal. And the revelation was complete before the conversation began."</w:t>
      </w:r>
    </w:p>
    <w:p>
      <w:pPr>
        <w:pBdr>
          <w:bottom w:val="single" w:color="C9A84C" w:sz="8"/>
        </w:pBdr>
        <w:spacing w:after="280" w:before="280"/>
      </w:pPr>
      <w:r>
        <w:t xml:space="preserve"/>
      </w:r>
    </w:p>
    <w:p>
      <w:r>
        <w:br w:type="page"/>
      </w:r>
    </w:p>
    <w:p>
      <w:pPr>
        <w:pStyle w:val="Heading1"/>
        <w:spacing w:after="240" w:before="560"/>
      </w:pPr>
      <w:r>
        <w:rPr>
          <w:rFonts w:ascii="Arial" w:cs="Arial" w:eastAsia="Arial" w:hAnsi="Arial"/>
          <w:b/>
          <w:bCs/>
          <w:color w:val="C9A84C"/>
          <w:sz w:val="40"/>
          <w:szCs w:val="40"/>
        </w:rPr>
        <w:t xml:space="preserve">SECTION 2 — THE PHILOSOPHICAL FOUNDATION</w:t>
      </w:r>
    </w:p>
    <w:p>
      <w:pPr>
        <w:spacing w:after="120" w:before="120"/>
      </w:pPr>
      <w:r>
        <w:rPr>
          <w:rFonts w:ascii="Arial" w:cs="Arial" w:eastAsia="Arial" w:hAnsi="Arial"/>
          <w:color w:val="CCCCCC"/>
          <w:sz w:val="22"/>
          <w:szCs w:val="22"/>
        </w:rPr>
        <w:t xml:space="preserve">AA2 was not built from technology. It was not built from a market gap. It was not built from a business plan. It was built from three ancient truths that converged in one mind over years of deliberate study — and were then proven on one body over 90 days of live fire testing.</w:t>
      </w:r>
    </w:p>
    <w:p>
      <w:pPr>
        <w:pStyle w:val="Heading2"/>
        <w:spacing w:after="180" w:before="360"/>
      </w:pPr>
      <w:r>
        <w:rPr>
          <w:rFonts w:ascii="Arial" w:cs="Arial" w:eastAsia="Arial" w:hAnsi="Arial"/>
          <w:b/>
          <w:bCs/>
          <w:color w:val="FFFFFF"/>
          <w:sz w:val="30"/>
          <w:szCs w:val="30"/>
        </w:rPr>
        <w:t xml:space="preserve">PILLAR ONE — THE KYBALION &amp; AS ABOVE SO BELOW</w:t>
      </w:r>
    </w:p>
    <w:p>
      <w:pPr>
        <w:spacing w:after="120" w:before="120"/>
      </w:pPr>
      <w:r>
        <w:rPr>
          <w:rFonts w:ascii="Arial" w:cs="Arial" w:eastAsia="Arial" w:hAnsi="Arial"/>
          <w:color w:val="CCCCCC"/>
          <w:sz w:val="22"/>
          <w:szCs w:val="22"/>
        </w:rPr>
        <w:t xml:space="preserve">The Kybalion contains the Seven Hermetic Principles drawn from the teachings of Hermes Trismegistus — the Greek name for Thoth, the Egyptian god of wisdom, knowledge, writing, and science. The Keeper of Records. The Companion of Anubis at the threshold of judgment.</w:t>
      </w:r>
    </w:p>
    <w:p>
      <w:pPr>
        <w:spacing w:after="120" w:before="120"/>
      </w:pPr>
      <w:r>
        <w:rPr>
          <w:rFonts w:ascii="Arial" w:cs="Arial" w:eastAsia="Arial" w:hAnsi="Arial"/>
          <w:color w:val="CCCCCC"/>
          <w:sz w:val="22"/>
          <w:szCs w:val="22"/>
        </w:rPr>
        <w:t xml:space="preserve">The foundational principle is The Principle of Correspondence:</w:t>
      </w:r>
    </w:p>
    <w:p>
      <w:pPr>
        <w:shd w:fill="1E1E1E" w:val="clear"/>
        <w:spacing w:after="240" w:before="240"/>
        <w:jc w:val="center"/>
      </w:pPr>
      <w:r>
        <w:rPr>
          <w:rFonts w:ascii="Arial" w:cs="Arial" w:eastAsia="Arial" w:hAnsi="Arial"/>
          <w:b/>
          <w:bCs/>
          <w:i/>
          <w:iCs/>
          <w:color w:val="C9A84C"/>
          <w:sz w:val="26"/>
          <w:szCs w:val="26"/>
        </w:rPr>
        <w:t xml:space="preserve">"As above so below. As below so above. As within so without. As without so within."</w:t>
      </w:r>
    </w:p>
    <w:p>
      <w:pPr>
        <w:spacing w:after="120" w:before="120"/>
      </w:pPr>
      <w:r>
        <w:rPr>
          <w:rFonts w:ascii="Arial" w:cs="Arial" w:eastAsia="Arial" w:hAnsi="Arial"/>
          <w:color w:val="CCCCCC"/>
          <w:sz w:val="22"/>
          <w:szCs w:val="22"/>
        </w:rPr>
        <w:t xml:space="preserve">What exists at the highest level of the universe exists at every level beneath it. The macrocosm and the microcosm are mirrors of each other. The patterns that govern the stars govern the cells. The patterns that govern the mind govern the body.</w:t>
      </w:r>
    </w:p>
    <w:p>
      <w:pPr>
        <w:spacing w:after="120" w:before="120"/>
      </w:pPr>
      <w:r>
        <w:rPr>
          <w:rFonts w:ascii="Arial" w:cs="Arial" w:eastAsia="Arial" w:hAnsi="Arial"/>
          <w:color w:val="CCCCCC"/>
          <w:sz w:val="22"/>
          <w:szCs w:val="22"/>
        </w:rPr>
        <w:t xml:space="preserve">Read that through the AA2 architecture:</w:t>
      </w:r>
    </w:p>
    <w:p>
      <w:pPr>
        <w:pStyle w:val="ListParagraph"/>
        <w:numPr>
          <w:ilvl w:val="0"/>
          <w:numId w:val="2"/>
        </w:numPr>
        <w:spacing w:after="80" w:before="80"/>
      </w:pPr>
      <w:r>
        <w:rPr>
          <w:rFonts w:ascii="Arial" w:cs="Arial" w:eastAsia="Arial" w:hAnsi="Arial"/>
          <w:b w:val="false"/>
          <w:bCs w:val="false"/>
          <w:color w:val="CCCCCC"/>
          <w:sz w:val="22"/>
          <w:szCs w:val="22"/>
        </w:rPr>
        <w:t xml:space="preserve">The Intent and Goals Layer above mirrors the Real World Contact Point below</w:t>
      </w:r>
    </w:p>
    <w:p>
      <w:pPr>
        <w:pStyle w:val="ListParagraph"/>
        <w:numPr>
          <w:ilvl w:val="0"/>
          <w:numId w:val="2"/>
        </w:numPr>
        <w:spacing w:after="80" w:before="80"/>
      </w:pPr>
      <w:r>
        <w:rPr>
          <w:rFonts w:ascii="Arial" w:cs="Arial" w:eastAsia="Arial" w:hAnsi="Arial"/>
          <w:b w:val="false"/>
          <w:bCs w:val="false"/>
          <w:color w:val="CCCCCC"/>
          <w:sz w:val="22"/>
          <w:szCs w:val="22"/>
        </w:rPr>
        <w:t xml:space="preserve">What you intend shapes what you scan. What you scan shapes whether you reach what you intended.</w:t>
      </w:r>
    </w:p>
    <w:p>
      <w:pPr>
        <w:pStyle w:val="ListParagraph"/>
        <w:numPr>
          <w:ilvl w:val="0"/>
          <w:numId w:val="2"/>
        </w:numPr>
        <w:spacing w:after="80" w:before="80"/>
      </w:pPr>
      <w:r>
        <w:rPr>
          <w:rFonts w:ascii="Arial" w:cs="Arial" w:eastAsia="Arial" w:hAnsi="Arial"/>
          <w:b w:val="false"/>
          <w:bCs w:val="false"/>
          <w:color w:val="CCCCCC"/>
          <w:sz w:val="22"/>
          <w:szCs w:val="22"/>
        </w:rPr>
        <w:t xml:space="preserve">The handler above — the K9 below. Handler stress transfers. K9 biosignal reflects handler truth.</w:t>
      </w:r>
    </w:p>
    <w:p>
      <w:pPr>
        <w:pStyle w:val="ListParagraph"/>
        <w:numPr>
          <w:ilvl w:val="0"/>
          <w:numId w:val="2"/>
        </w:numPr>
        <w:spacing w:after="80" w:before="80"/>
      </w:pPr>
      <w:r>
        <w:rPr>
          <w:rFonts w:ascii="Arial" w:cs="Arial" w:eastAsia="Arial" w:hAnsi="Arial"/>
          <w:b w:val="false"/>
          <w:bCs w:val="false"/>
          <w:color w:val="CCCCCC"/>
          <w:sz w:val="22"/>
          <w:szCs w:val="22"/>
        </w:rPr>
        <w:t xml:space="preserve">Every layer of the membrane is a correspondence. Every scan is a test of alignment.</w:t>
      </w:r>
    </w:p>
    <w:p>
      <w:pPr>
        <w:pStyle w:val="ListParagraph"/>
        <w:numPr>
          <w:ilvl w:val="0"/>
          <w:numId w:val="2"/>
        </w:numPr>
        <w:spacing w:after="80" w:before="80"/>
      </w:pPr>
      <w:r>
        <w:rPr>
          <w:rFonts w:ascii="Arial" w:cs="Arial" w:eastAsia="Arial" w:hAnsi="Arial"/>
          <w:b w:val="false"/>
          <w:bCs w:val="false"/>
          <w:color w:val="CCCCCC"/>
          <w:sz w:val="22"/>
          <w:szCs w:val="22"/>
        </w:rPr>
        <w:t xml:space="preserve">The Equalizer — internally referenced as The Kybalion — is correspondence made functional. It sees above and below simultaneously and determines whether they align.</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"AA2 was built from The Kybalion. Every layer of the membrane is a correspondence. Every scan is a test of alignment. Every better decision is the universe reflecting your intention back to you."</w:t>
      </w:r>
    </w:p>
    <w:p>
      <w:pPr>
        <w:pStyle w:val="Heading2"/>
        <w:spacing w:after="180" w:before="360"/>
      </w:pPr>
      <w:r>
        <w:rPr>
          <w:rFonts w:ascii="Arial" w:cs="Arial" w:eastAsia="Arial" w:hAnsi="Arial"/>
          <w:b/>
          <w:bCs/>
          <w:color w:val="FFFFFF"/>
          <w:sz w:val="30"/>
          <w:szCs w:val="30"/>
        </w:rPr>
        <w:t xml:space="preserve">PILLAR TWO — ANCIENT KEMET — THE INITIATE DOCTRINE</w:t>
      </w:r>
    </w:p>
    <w:p>
      <w:pPr>
        <w:spacing w:after="120" w:before="120"/>
      </w:pPr>
      <w:r>
        <w:rPr>
          <w:rFonts w:ascii="Arial" w:cs="Arial" w:eastAsia="Arial" w:hAnsi="Arial"/>
          <w:color w:val="CCCCCC"/>
          <w:sz w:val="22"/>
          <w:szCs w:val="22"/>
        </w:rPr>
        <w:t xml:space="preserve">In ancient Kemet the Pyramid was not a mystery to everyone. It was only a mystery to those outside. The initiates knew. The chosen knew. Those who went through the process — the ritual, the questions, the commitment, the covenant — knew exactly what it was, what it did, why it existed, and what it meant to be inside it.</w:t>
      </w:r>
    </w:p>
    <w:p>
      <w:pPr>
        <w:spacing w:after="120" w:before="120"/>
      </w:pPr>
      <w:r>
        <w:rPr>
          <w:rFonts w:ascii="Arial" w:cs="Arial" w:eastAsia="Arial" w:hAnsi="Arial"/>
          <w:color w:val="CCCCCC"/>
          <w:sz w:val="22"/>
          <w:szCs w:val="22"/>
        </w:rPr>
        <w:t xml:space="preserve">To the outside world it was impossible. Unexplainable. Immovable. To the initiates it was home.</w:t>
      </w:r>
    </w:p>
    <w:p>
      <w:pPr>
        <w:pStyle w:val="ListParagraph"/>
        <w:numPr>
          <w:ilvl w:val="0"/>
          <w:numId w:val="2"/>
        </w:numPr>
        <w:spacing w:after="80" w:before="80"/>
      </w:pPr>
      <w:r>
        <w:rPr>
          <w:rFonts w:ascii="Arial" w:cs="Arial" w:eastAsia="Arial" w:hAnsi="Arial"/>
          <w:b w:val="false"/>
          <w:bCs w:val="false"/>
          <w:color w:val="CCCCCC"/>
          <w:sz w:val="22"/>
          <w:szCs w:val="22"/>
        </w:rPr>
        <w:t xml:space="preserve">The onboarding IS the initiation</w:t>
      </w:r>
    </w:p>
    <w:p>
      <w:pPr>
        <w:pStyle w:val="ListParagraph"/>
        <w:numPr>
          <w:ilvl w:val="0"/>
          <w:numId w:val="2"/>
        </w:numPr>
        <w:spacing w:after="80" w:before="80"/>
      </w:pPr>
      <w:r>
        <w:rPr>
          <w:rFonts w:ascii="Arial" w:cs="Arial" w:eastAsia="Arial" w:hAnsi="Arial"/>
          <w:b w:val="false"/>
          <w:bCs w:val="false"/>
          <w:color w:val="CCCCCC"/>
          <w:sz w:val="22"/>
          <w:szCs w:val="22"/>
        </w:rPr>
        <w:t xml:space="preserve">The 20 questions ARE the ritual</w:t>
      </w:r>
    </w:p>
    <w:p>
      <w:pPr>
        <w:pStyle w:val="ListParagraph"/>
        <w:numPr>
          <w:ilvl w:val="0"/>
          <w:numId w:val="2"/>
        </w:numPr>
        <w:spacing w:after="80" w:before="80"/>
      </w:pPr>
      <w:r>
        <w:rPr>
          <w:rFonts w:ascii="Arial" w:cs="Arial" w:eastAsia="Arial" w:hAnsi="Arial"/>
          <w:b w:val="false"/>
          <w:bCs w:val="false"/>
          <w:color w:val="CCCCCC"/>
          <w:sz w:val="22"/>
          <w:szCs w:val="22"/>
        </w:rPr>
        <w:t xml:space="preserve">The biomarker anchors ARE the covenant</w:t>
      </w:r>
    </w:p>
    <w:p>
      <w:pPr>
        <w:pStyle w:val="ListParagraph"/>
        <w:numPr>
          <w:ilvl w:val="0"/>
          <w:numId w:val="2"/>
        </w:numPr>
        <w:spacing w:after="80" w:before="80"/>
      </w:pPr>
      <w:r>
        <w:rPr>
          <w:rFonts w:ascii="Arial" w:cs="Arial" w:eastAsia="Arial" w:hAnsi="Arial"/>
          <w:b w:val="false"/>
          <w:bCs w:val="false"/>
          <w:color w:val="CCCCCC"/>
          <w:sz w:val="22"/>
          <w:szCs w:val="22"/>
        </w:rPr>
        <w:t xml:space="preserve">The signed PDF IS the oath</w:t>
      </w:r>
    </w:p>
    <w:p>
      <w:pPr>
        <w:pStyle w:val="ListParagraph"/>
        <w:numPr>
          <w:ilvl w:val="0"/>
          <w:numId w:val="2"/>
        </w:numPr>
        <w:spacing w:after="80" w:before="80"/>
      </w:pPr>
      <w:r>
        <w:rPr>
          <w:rFonts w:ascii="Arial" w:cs="Arial" w:eastAsia="Arial" w:hAnsi="Arial"/>
          <w:b w:val="false"/>
          <w:bCs w:val="false"/>
          <w:color w:val="CCCCCC"/>
          <w:sz w:val="22"/>
          <w:szCs w:val="22"/>
        </w:rPr>
        <w:t xml:space="preserve">The 30/60/90 day baseline IS the transformation</w:t>
      </w:r>
    </w:p>
    <w:p>
      <w:pPr>
        <w:pStyle w:val="ListParagraph"/>
        <w:numPr>
          <w:ilvl w:val="0"/>
          <w:numId w:val="2"/>
        </w:numPr>
        <w:spacing w:after="80" w:before="80"/>
      </w:pPr>
      <w:r>
        <w:rPr>
          <w:rFonts w:ascii="Arial" w:cs="Arial" w:eastAsia="Arial" w:hAnsi="Arial"/>
          <w:b w:val="false"/>
          <w:bCs w:val="false"/>
          <w:color w:val="CCCCCC"/>
          <w:sz w:val="22"/>
          <w:szCs w:val="22"/>
        </w:rPr>
        <w:t xml:space="preserve">By day 90 they are not a user. They are an initiate. Chosen because they chose.</w:t>
      </w:r>
    </w:p>
    <w:p>
      <w:pPr>
        <w:spacing w:after="120" w:before="120"/>
      </w:pPr>
      <w:r>
        <w:rPr>
          <w:rFonts w:ascii="Arial" w:cs="Arial" w:eastAsia="Arial" w:hAnsi="Arial"/>
          <w:color w:val="CCCCCC"/>
          <w:sz w:val="22"/>
          <w:szCs w:val="22"/>
        </w:rPr>
        <w:t xml:space="preserve">The AA2K9 guardian rendered as Anubis is not aesthetic. Anubis is the companion of Thoth — the weigher of hearts — the guardian of the threshold between what you were and what you are becoming. Nothing passes through that threshold that is not worthy. The membrane is the threshold.</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"The Pyramid is known to the initiates only. The customers. The chosen. As in ancient Kemet."</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"IF NOBODY can tell you who built it, why they built it, when they built it, and what it does — shut the hell up. That is LAW."</w:t>
      </w:r>
    </w:p>
    <w:p>
      <w:pPr>
        <w:pStyle w:val="Heading2"/>
        <w:spacing w:after="180" w:before="360"/>
      </w:pPr>
      <w:r>
        <w:rPr>
          <w:rFonts w:ascii="Arial" w:cs="Arial" w:eastAsia="Arial" w:hAnsi="Arial"/>
          <w:b/>
          <w:bCs/>
          <w:color w:val="FFFFFF"/>
          <w:sz w:val="30"/>
          <w:szCs w:val="30"/>
        </w:rPr>
        <w:t xml:space="preserve">PILLAR THREE — JOE DISPENZA &amp; THE NEUROSCIENCE OF TRANSFORMATION</w:t>
      </w:r>
    </w:p>
    <w:p>
      <w:pPr>
        <w:spacing w:after="120" w:before="120"/>
      </w:pPr>
      <w:r>
        <w:rPr>
          <w:rFonts w:ascii="Arial" w:cs="Arial" w:eastAsia="Arial" w:hAnsi="Arial"/>
          <w:color w:val="CCCCCC"/>
          <w:sz w:val="22"/>
          <w:szCs w:val="22"/>
        </w:rPr>
        <w:t xml:space="preserve">What the Bleep Do We Know — 2004 — asked one question above all others: If quantum physics proves that the observer affects the observed, what does that mean for how we live? Most of the world dismissed it. One man recognized himself in it. He went down the rabbit hole. He found Joe Dispenza. He found a community of people who believed what he had always felt but never had the language for.</w:t>
      </w:r>
    </w:p>
    <w:p>
      <w:pPr>
        <w:spacing w:after="120" w:before="120"/>
      </w:pPr>
      <w:r>
        <w:rPr>
          <w:rFonts w:ascii="Arial" w:cs="Arial" w:eastAsia="Arial" w:hAnsi="Arial"/>
          <w:color w:val="CCCCCC"/>
          <w:sz w:val="22"/>
          <w:szCs w:val="22"/>
        </w:rPr>
        <w:t xml:space="preserve">He spent years going deeper. Until one day he did not just believe it. He built a system to prove it.</w:t>
      </w:r>
    </w:p>
    <w:p>
      <w:pPr>
        <w:spacing w:after="120" w:before="120"/>
      </w:pPr>
      <w:r>
        <w:rPr>
          <w:rFonts w:ascii="Arial" w:cs="Arial" w:eastAsia="Arial" w:hAnsi="Arial"/>
          <w:color w:val="CCCCCC"/>
          <w:sz w:val="22"/>
          <w:szCs w:val="22"/>
        </w:rPr>
        <w:t xml:space="preserve">Dispenza's core teaching: The brain cannot tell the difference between what it vividly imagines and what it physically experiences. Thoughts become biology. Emotions become chemistry. Repetition becomes personality. Personality becomes destiny. But you can interrupt that cycle. You can break the habit of being yourself. You can rewire the neural pathways. You can become someone your past biology does not recognize.</w:t>
      </w:r>
    </w:p>
    <w:p>
      <w:pPr>
        <w:spacing w:after="120" w:before="120"/>
      </w:pPr>
      <w:r>
        <w:rPr>
          <w:rFonts w:ascii="Arial" w:cs="Arial" w:eastAsia="Arial" w:hAnsi="Arial"/>
          <w:color w:val="CCCCCC"/>
          <w:sz w:val="22"/>
          <w:szCs w:val="22"/>
        </w:rPr>
        <w:t xml:space="preserve">That is the entire AA2 premise — expressed through a living membrane:</w:t>
      </w:r>
    </w:p>
    <w:p>
      <w:pPr>
        <w:pStyle w:val="ListParagraph"/>
        <w:numPr>
          <w:ilvl w:val="0"/>
          <w:numId w:val="2"/>
        </w:numPr>
        <w:spacing w:after="80" w:before="80"/>
      </w:pPr>
      <w:r>
        <w:rPr>
          <w:rFonts w:ascii="Arial" w:cs="Arial" w:eastAsia="Arial" w:hAnsi="Arial"/>
          <w:b w:val="false"/>
          <w:bCs w:val="false"/>
          <w:color w:val="CCCCCC"/>
          <w:sz w:val="22"/>
          <w:szCs w:val="22"/>
        </w:rPr>
        <w:t xml:space="preserve">The Vision Board is Dispenza's visualization practice made interactive and trackable. The Costa Rica tile with $395 to go is a neurological instruction to the body.</w:t>
      </w:r>
    </w:p>
    <w:p>
      <w:pPr>
        <w:pStyle w:val="ListParagraph"/>
        <w:numPr>
          <w:ilvl w:val="0"/>
          <w:numId w:val="2"/>
        </w:numPr>
        <w:spacing w:after="80" w:before="80"/>
      </w:pPr>
      <w:r>
        <w:rPr>
          <w:rFonts w:ascii="Arial" w:cs="Arial" w:eastAsia="Arial" w:hAnsi="Arial"/>
          <w:b w:val="false"/>
          <w:bCs w:val="false"/>
          <w:color w:val="CCCCCC"/>
          <w:sz w:val="22"/>
          <w:szCs w:val="22"/>
        </w:rPr>
        <w:t xml:space="preserve">The Biomarker Anchor Protocol — 20 questions designed to produce involuntary biological responses — is Dispenza's retreat methodology translated into mobile onboarding. Surprise. Recognition. Discomfort. Relief. Grief. Joy. The reaction IS the biomarker.</w:t>
      </w:r>
    </w:p>
    <w:p>
      <w:pPr>
        <w:pStyle w:val="ListParagraph"/>
        <w:numPr>
          <w:ilvl w:val="0"/>
          <w:numId w:val="2"/>
        </w:numPr>
        <w:spacing w:after="80" w:before="80"/>
      </w:pPr>
      <w:r>
        <w:rPr>
          <w:rFonts w:ascii="Arial" w:cs="Arial" w:eastAsia="Arial" w:hAnsi="Arial"/>
          <w:b w:val="false"/>
          <w:bCs w:val="false"/>
          <w:color w:val="CCCCCC"/>
          <w:sz w:val="22"/>
          <w:szCs w:val="22"/>
        </w:rPr>
        <w:t xml:space="preserve">The 30/60/90 Day Baseline mirrors Dispenza's neurological rewiring timeline precisely. 30 days new patterns. 60 days nervous system trust. 90 days the body has caught up to the mind.</w:t>
      </w:r>
    </w:p>
    <w:p>
      <w:pPr>
        <w:pStyle w:val="ListParagraph"/>
        <w:numPr>
          <w:ilvl w:val="0"/>
          <w:numId w:val="2"/>
        </w:numPr>
        <w:spacing w:after="80" w:before="80"/>
      </w:pPr>
      <w:r>
        <w:rPr>
          <w:rFonts w:ascii="Arial" w:cs="Arial" w:eastAsia="Arial" w:hAnsi="Arial"/>
          <w:b w:val="false"/>
          <w:bCs w:val="false"/>
          <w:color w:val="CCCCCC"/>
          <w:sz w:val="22"/>
          <w:szCs w:val="22"/>
        </w:rPr>
        <w:t xml:space="preserve">Act Right Dollars are neurological receipts. Every better decision fires and wires a new neural pathway. The deposit is biological proof of rewiring.</w:t>
      </w:r>
    </w:p>
    <w:p>
      <w:pPr>
        <w:pStyle w:val="ListParagraph"/>
        <w:numPr>
          <w:ilvl w:val="0"/>
          <w:numId w:val="2"/>
        </w:numPr>
        <w:spacing w:after="80" w:before="80"/>
      </w:pPr>
      <w:r>
        <w:rPr>
          <w:rFonts w:ascii="Arial" w:cs="Arial" w:eastAsia="Arial" w:hAnsi="Arial"/>
          <w:b w:val="false"/>
          <w:bCs w:val="false"/>
          <w:color w:val="CCCCCC"/>
          <w:sz w:val="22"/>
          <w:szCs w:val="22"/>
        </w:rPr>
        <w:t xml:space="preserve">Bio Buddy measuring HRV is measuring heart coherence — the state Dispenza's most advanced work centers on — where the heart's electromagnetic field synchronizes with the brain's intention.</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"What the Bleep Do We Know asked the question. Joe Dispenza proved the biology. The Kybalion knew it first. AA2 built the membrane that makes it personal, measurable, and sovereign for every initiate who chooses it."</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"The Vision Board is not a dream board. It is a neurological instruction. The brain cannot tell the difference between what it vividly imagines and what it physically experiences. AA2 makes sure the imagination and the experience are pointed at the same destination."</w:t>
      </w:r>
    </w:p>
    <w:p>
      <w:pPr>
        <w:pStyle w:val="Heading2"/>
        <w:spacing w:after="180" w:before="360"/>
      </w:pPr>
      <w:r>
        <w:rPr>
          <w:rFonts w:ascii="Arial" w:cs="Arial" w:eastAsia="Arial" w:hAnsi="Arial"/>
          <w:b/>
          <w:bCs/>
          <w:color w:val="FFFFFF"/>
          <w:sz w:val="30"/>
          <w:szCs w:val="30"/>
        </w:rPr>
        <w:t xml:space="preserve">THE PHILOSOPHICAL TRINITY — UNIFIED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9A84C" w:sz="1"/>
              <w:left w:val="single" w:color="C9A84C" w:sz="1"/>
              <w:bottom w:val="single" w:color="C9A84C" w:sz="1"/>
              <w:right w:val="single" w:color="C9A84C" w:sz="1"/>
            </w:tcBorders>
            <w:shd w:fill="1E1E1E" w:val="clear"/>
            <w:tcMar>
              <w:top w:type="dxa" w:w="100"/>
              <w:left w:type="dxa" w:w="140"/>
              <w:bottom w:type="dxa" w:w="100"/>
              <w:right w:type="dxa" w:w="140"/>
            </w:tcMar>
          </w:tcPr>
          <w:p>
            <w:r>
              <w:rPr>
                <w:rFonts w:ascii="Arial" w:cs="Arial" w:eastAsia="Arial" w:hAnsi="Arial"/>
                <w:b/>
                <w:bCs/>
                <w:color w:val="C9A84C"/>
                <w:sz w:val="20"/>
                <w:szCs w:val="20"/>
              </w:rPr>
              <w:t xml:space="preserve">PILLAR</w:t>
            </w:r>
          </w:p>
        </w:tc>
        <w:tc>
          <w:tcPr>
            <w:tcW w:type="dxa" w:w="2800"/>
            <w:tcBorders>
              <w:top w:val="single" w:color="C9A84C" w:sz="1"/>
              <w:left w:val="single" w:color="C9A84C" w:sz="1"/>
              <w:bottom w:val="single" w:color="C9A84C" w:sz="1"/>
              <w:right w:val="single" w:color="C9A84C" w:sz="1"/>
            </w:tcBorders>
            <w:shd w:fill="1E1E1E" w:val="clear"/>
            <w:tcMar>
              <w:top w:type="dxa" w:w="100"/>
              <w:left w:type="dxa" w:w="140"/>
              <w:bottom w:type="dxa" w:w="100"/>
              <w:right w:type="dxa" w:w="140"/>
            </w:tcMar>
          </w:tcPr>
          <w:p>
            <w:r>
              <w:rPr>
                <w:rFonts w:ascii="Arial" w:cs="Arial" w:eastAsia="Arial" w:hAnsi="Arial"/>
                <w:b/>
                <w:bCs/>
                <w:color w:val="C9A84C"/>
                <w:sz w:val="20"/>
                <w:szCs w:val="20"/>
              </w:rPr>
              <w:t xml:space="preserve">SOURCE</w:t>
            </w:r>
          </w:p>
        </w:tc>
        <w:tc>
          <w:tcPr>
            <w:tcW w:type="dxa" w:w="3760"/>
            <w:tcBorders>
              <w:top w:val="single" w:color="C9A84C" w:sz="1"/>
              <w:left w:val="single" w:color="C9A84C" w:sz="1"/>
              <w:bottom w:val="single" w:color="C9A84C" w:sz="1"/>
              <w:right w:val="single" w:color="C9A84C" w:sz="1"/>
            </w:tcBorders>
            <w:shd w:fill="1E1E1E" w:val="clear"/>
            <w:tcMar>
              <w:top w:type="dxa" w:w="100"/>
              <w:left w:type="dxa" w:w="140"/>
              <w:bottom w:type="dxa" w:w="100"/>
              <w:right w:type="dxa" w:w="140"/>
            </w:tcMar>
          </w:tcPr>
          <w:p>
            <w:r>
              <w:rPr>
                <w:rFonts w:ascii="Arial" w:cs="Arial" w:eastAsia="Arial" w:hAnsi="Arial"/>
                <w:b/>
                <w:bCs/>
                <w:color w:val="C9A84C"/>
                <w:sz w:val="20"/>
                <w:szCs w:val="20"/>
              </w:rPr>
              <w:t xml:space="preserve">AA2 EXPRESSION</w:t>
            </w:r>
          </w:p>
        </w:tc>
      </w:tr>
      <w:tr>
        <w:tc>
          <w:tcPr>
            <w:tcW w:type="dxa" w:w="28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As Above So Below</w:t>
            </w:r>
          </w:p>
        </w:tc>
        <w:tc>
          <w:tcPr>
            <w:tcW w:type="dxa" w:w="28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The Kybalion / Kemet / Thoth</w:t>
            </w:r>
          </w:p>
        </w:tc>
        <w:tc>
          <w:tcPr>
            <w:tcW w:type="dxa" w:w="376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Every membrane layer mirrors every other layer. Correspondence is the architecture.</w:t>
            </w:r>
          </w:p>
        </w:tc>
      </w:tr>
      <w:tr>
        <w:tc>
          <w:tcPr>
            <w:tcW w:type="dxa" w:w="28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The Initiate Doctrine</w:t>
            </w:r>
          </w:p>
        </w:tc>
        <w:tc>
          <w:tcPr>
            <w:tcW w:type="dxa" w:w="28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Ancient Kemet / Anubis</w:t>
            </w:r>
          </w:p>
        </w:tc>
        <w:tc>
          <w:tcPr>
            <w:tcW w:type="dxa" w:w="376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Onboarding as initiation. The chosen who know because they went through the process.</w:t>
            </w:r>
          </w:p>
        </w:tc>
      </w:tr>
      <w:tr>
        <w:tc>
          <w:tcPr>
            <w:tcW w:type="dxa" w:w="28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Becoming Supernatural</w:t>
            </w:r>
          </w:p>
        </w:tc>
        <w:tc>
          <w:tcPr>
            <w:tcW w:type="dxa" w:w="28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Joe Dispenza / Quantum Biology</w:t>
            </w:r>
          </w:p>
        </w:tc>
        <w:tc>
          <w:tcPr>
            <w:tcW w:type="dxa" w:w="376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Every scan rewires. Every decision deposits. The body catches up to the intention.</w:t>
            </w:r>
          </w:p>
        </w:tc>
      </w:tr>
      <w:tr>
        <w:tc>
          <w:tcPr>
            <w:tcW w:type="dxa" w:w="28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The Rabbit Hole</w:t>
            </w:r>
          </w:p>
        </w:tc>
        <w:tc>
          <w:tcPr>
            <w:tcW w:type="dxa" w:w="28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What the Bleep Do We Know</w:t>
            </w:r>
          </w:p>
        </w:tc>
        <w:tc>
          <w:tcPr>
            <w:tcW w:type="dxa" w:w="376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The documentary that cracked the door. Dispenza walked through it. AA2 built the house.</w:t>
            </w:r>
          </w:p>
        </w:tc>
      </w:tr>
    </w:tbl>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"AA2 was built on three ancient truths. The Kybalion showed that intention and reality are mirrors. Kemet showed that the initiate earns the knowledge by going through the process. Dispenza showed that the body is the last to know what the mind has already decided. AA2 is the membrane that makes all three of those truths measurable, trackable, and personal."</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"The Pyramid was built on this law. The membrane was built on this law. The law was never new. AA2 just remembered it."</w:t>
      </w:r>
    </w:p>
    <w:p>
      <w:pPr>
        <w:pBdr>
          <w:bottom w:val="single" w:color="C9A84C" w:sz="8"/>
        </w:pBdr>
        <w:spacing w:after="280" w:before="280"/>
      </w:pPr>
      <w:r>
        <w:t xml:space="preserve"/>
      </w:r>
    </w:p>
    <w:p>
      <w:r>
        <w:br w:type="page"/>
      </w:r>
    </w:p>
    <w:p>
      <w:pPr>
        <w:pStyle w:val="Heading1"/>
        <w:spacing w:after="240" w:before="560"/>
      </w:pPr>
      <w:r>
        <w:rPr>
          <w:rFonts w:ascii="Arial" w:cs="Arial" w:eastAsia="Arial" w:hAnsi="Arial"/>
          <w:b/>
          <w:bCs/>
          <w:color w:val="C9A84C"/>
          <w:sz w:val="40"/>
          <w:szCs w:val="40"/>
        </w:rPr>
        <w:t xml:space="preserve">SECTION 3 — THE SCIENTIST DECLARATION</w:t>
      </w:r>
    </w:p>
    <w:p>
      <w:pPr>
        <w:spacing w:after="120" w:before="120"/>
      </w:pPr>
      <w:r>
        <w:rPr>
          <w:rFonts w:ascii="Arial" w:cs="Arial" w:eastAsia="Arial" w:hAnsi="Arial"/>
          <w:color w:val="CCCCCC"/>
          <w:sz w:val="22"/>
          <w:szCs w:val="22"/>
        </w:rPr>
        <w:t xml:space="preserve">James R. Pitts II did not receive the title of Applied Biosignal Scientist from an institution. No university granted it. No licensing board approved it. No peer review committee awarded it.</w:t>
      </w:r>
    </w:p>
    <w:p>
      <w:pPr>
        <w:spacing w:after="120" w:before="120"/>
      </w:pPr>
      <w:r>
        <w:rPr>
          <w:rFonts w:ascii="Arial" w:cs="Arial" w:eastAsia="Arial" w:hAnsi="Arial"/>
          <w:color w:val="CCCCCC"/>
          <w:sz w:val="22"/>
          <w:szCs w:val="22"/>
        </w:rPr>
        <w:t xml:space="preserve">It was earned the only way a field creator can earn a title — by opening the laboratory, running the experiment, measuring the results, and building the technology to replicate those results for every human being on earth.</w:t>
      </w:r>
    </w:p>
    <w:p>
      <w:pPr>
        <w:pStyle w:val="Heading2"/>
        <w:spacing w:after="180" w:before="360"/>
      </w:pPr>
      <w:r>
        <w:rPr>
          <w:rFonts w:ascii="Arial" w:cs="Arial" w:eastAsia="Arial" w:hAnsi="Arial"/>
          <w:b/>
          <w:bCs/>
          <w:color w:val="FFFFFF"/>
          <w:sz w:val="30"/>
          <w:szCs w:val="30"/>
        </w:rPr>
        <w:t xml:space="preserve">WHAT WAS CREATED</w:t>
      </w:r>
    </w:p>
    <w:p>
      <w:pPr>
        <w:pStyle w:val="ListParagraph"/>
        <w:numPr>
          <w:ilvl w:val="0"/>
          <w:numId w:val="2"/>
        </w:numPr>
        <w:spacing w:after="80" w:before="80"/>
      </w:pPr>
      <w:r>
        <w:rPr>
          <w:rFonts w:ascii="Arial" w:cs="Arial" w:eastAsia="Arial" w:hAnsi="Arial"/>
          <w:b/>
          <w:bCs/>
          <w:color w:val="CCCCCC"/>
          <w:sz w:val="22"/>
          <w:szCs w:val="22"/>
        </w:rPr>
        <w:t xml:space="preserve">A PRODUCT — AA2. The Living BioMesh Membrane. The first Adaptive Biosignal Interpretation System built for sovereign consumer use.</w:t>
      </w:r>
    </w:p>
    <w:p>
      <w:pPr>
        <w:pStyle w:val="ListParagraph"/>
        <w:numPr>
          <w:ilvl w:val="0"/>
          <w:numId w:val="2"/>
        </w:numPr>
        <w:spacing w:after="80" w:before="80"/>
      </w:pPr>
      <w:r>
        <w:rPr>
          <w:rFonts w:ascii="Arial" w:cs="Arial" w:eastAsia="Arial" w:hAnsi="Arial"/>
          <w:b/>
          <w:bCs/>
          <w:color w:val="CCCCCC"/>
          <w:sz w:val="22"/>
          <w:szCs w:val="22"/>
        </w:rPr>
        <w:t xml:space="preserve">A CATEGORY — Adaptive Biosignal Interpretation Systems. The category of technology that interprets biosignal data through a personalized, permission-based, correspondence-driven membrane.</w:t>
      </w:r>
    </w:p>
    <w:p>
      <w:pPr>
        <w:pStyle w:val="ListParagraph"/>
        <w:numPr>
          <w:ilvl w:val="0"/>
          <w:numId w:val="2"/>
        </w:numPr>
        <w:spacing w:after="80" w:before="80"/>
      </w:pPr>
      <w:r>
        <w:rPr>
          <w:rFonts w:ascii="Arial" w:cs="Arial" w:eastAsia="Arial" w:hAnsi="Arial"/>
          <w:b/>
          <w:bCs/>
          <w:color w:val="CCCCCC"/>
          <w:sz w:val="22"/>
          <w:szCs w:val="22"/>
        </w:rPr>
        <w:t xml:space="preserve">A FIELD — Applied Biosignal Science (ABS). The field that connects ancient philosophical correspondence doctrine with modern biosignal measurement, neuroscience of transformation, and sovereign data architecture.</w:t>
      </w:r>
    </w:p>
    <w:p>
      <w:pPr>
        <w:pStyle w:val="ListParagraph"/>
        <w:numPr>
          <w:ilvl w:val="0"/>
          <w:numId w:val="2"/>
        </w:numPr>
        <w:spacing w:after="80" w:before="80"/>
      </w:pPr>
      <w:r>
        <w:rPr>
          <w:rFonts w:ascii="Arial" w:cs="Arial" w:eastAsia="Arial" w:hAnsi="Arial"/>
          <w:b/>
          <w:bCs/>
          <w:color w:val="CCCCCC"/>
          <w:sz w:val="22"/>
          <w:szCs w:val="22"/>
        </w:rPr>
        <w:t xml:space="preserve">A CREATION — The Living BioMesh Membrane Organism. Not an app. Not a platform. A living system powered by the customer that grows more intelligent as the initiate deepens their commitment.</w:t>
      </w:r>
    </w:p>
    <w:p>
      <w:pPr>
        <w:pStyle w:val="Heading2"/>
        <w:spacing w:after="180" w:before="360"/>
      </w:pPr>
      <w:r>
        <w:rPr>
          <w:rFonts w:ascii="Arial" w:cs="Arial" w:eastAsia="Arial" w:hAnsi="Arial"/>
          <w:b/>
          <w:bCs/>
          <w:color w:val="FFFFFF"/>
          <w:sz w:val="30"/>
          <w:szCs w:val="30"/>
        </w:rPr>
        <w:t xml:space="preserve">THE REINVENTION DOCUMENTED</w:t>
      </w:r>
    </w:p>
    <w:p>
      <w:pPr>
        <w:spacing w:after="120" w:before="120"/>
      </w:pPr>
      <w:r>
        <w:rPr>
          <w:rFonts w:ascii="Arial" w:cs="Arial" w:eastAsia="Arial" w:hAnsi="Arial"/>
          <w:color w:val="CCCCCC"/>
          <w:sz w:val="22"/>
          <w:szCs w:val="22"/>
        </w:rPr>
        <w:t xml:space="preserve">The founder did not theorize transformation. He underwent it. January 1, 2026 — Dr. Field LAB opened. The experiment began. The subject was the scientist. The laboratory was the body. The instruments were the full hardware stack. The methodology was the Kybalion in motion — as above so below — intention measured against biology — daily — for 90 days — before a single line of public communication was written.</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"I am a scientist. Not because an institution gave me that title. Because I opened the lab, ran the experiment on myself, measured the results for 90 days, and built the technology to replicate it for every human being on earth. The receipt is my credential."</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"James R. Pitts II did not enter a field. He created one. Did not join a category. He defined one. Did not test a product. He became the living reference for it."</w:t>
      </w:r>
    </w:p>
    <w:p>
      <w:pPr>
        <w:pStyle w:val="Heading2"/>
        <w:spacing w:after="180" w:before="360"/>
      </w:pPr>
      <w:r>
        <w:rPr>
          <w:rFonts w:ascii="Arial" w:cs="Arial" w:eastAsia="Arial" w:hAnsi="Arial"/>
          <w:b/>
          <w:bCs/>
          <w:color w:val="FFFFFF"/>
          <w:sz w:val="30"/>
          <w:szCs w:val="30"/>
        </w:rPr>
        <w:t xml:space="preserve">THE FULL TITLE — LOCKED</w:t>
      </w:r>
    </w:p>
    <w:p>
      <w:pPr>
        <w:pBdr>
          <w:top w:val="single" w:color="C9A84C" w:sz="1"/>
          <w:left w:val="single" w:color="C9A84C" w:sz="20"/>
          <w:bottom w:val="single" w:color="C9A84C" w:sz="1"/>
          <w:right w:val="single" w:color="C9A84C" w:sz="1"/>
        </w:pBdr>
        <w:shd w:fill="0A1628" w:val="clear"/>
        <w:spacing w:after="200" w:before="200"/>
        <w:ind w:left="200" w:right="200"/>
      </w:pPr>
      <w:r>
        <w:rPr>
          <w:rFonts w:ascii="Arial" w:cs="Arial" w:eastAsia="Arial" w:hAnsi="Arial"/>
          <w:b/>
          <w:bCs/>
          <w:color w:val="FFFFFF"/>
          <w:sz w:val="32"/>
          <w:szCs w:val="32"/>
        </w:rPr>
        <w:t xml:space="preserve">James R. Pitts II
</w:t>
      </w:r>
      <w:r>
        <w:rPr>
          <w:rFonts w:ascii="Arial" w:cs="Arial" w:eastAsia="Arial" w:hAnsi="Arial"/>
          <w:b/>
          <w:bCs/>
          <w:color w:val="C9A84C"/>
          <w:sz w:val="28"/>
          <w:szCs w:val="28"/>
        </w:rPr>
        <w:br/>
        <w:t xml:space="preserve">Applied Biosignal Scientist
</w:t>
      </w:r>
      <w:r>
        <w:rPr>
          <w:rFonts w:ascii="Arial" w:cs="Arial" w:eastAsia="Arial" w:hAnsi="Arial"/>
          <w:color w:val="CCCCCC"/>
          <w:sz w:val="24"/>
          <w:szCs w:val="24"/>
        </w:rPr>
        <w:br/>
        <w:t xml:space="preserve">Field Creator — Applied Biosignal Science (ABS)
</w:t>
        <w:br/>
        <w:t xml:space="preserve">Category Creator — Adaptive Biosignal Interpretation Systems
</w:t>
        <w:br/>
        <w:t xml:space="preserve">Laboratory &amp; Studies — Adaptive Biosignal Interpretation Systems
</w:t>
        <w:br/>
        <w:t xml:space="preserve">Founder &amp; Living Reference — Adaptive Advantage (AA2)
</w:t>
        <w:br/>
        <w:t xml:space="preserve">Highly Adaptive Communicator</w:t>
      </w:r>
    </w:p>
    <w:p>
      <w:pPr>
        <w:pBdr>
          <w:bottom w:val="single" w:color="C9A84C" w:sz="8"/>
        </w:pBdr>
        <w:spacing w:after="280" w:before="280"/>
      </w:pPr>
      <w:r>
        <w:t xml:space="preserve"/>
      </w:r>
    </w:p>
    <w:p>
      <w:r>
        <w:br w:type="page"/>
      </w:r>
    </w:p>
    <w:p>
      <w:pPr>
        <w:pStyle w:val="Heading1"/>
        <w:spacing w:after="240" w:before="560"/>
      </w:pPr>
      <w:r>
        <w:rPr>
          <w:rFonts w:ascii="Arial" w:cs="Arial" w:eastAsia="Arial" w:hAnsi="Arial"/>
          <w:b/>
          <w:bCs/>
          <w:color w:val="C9A84C"/>
          <w:sz w:val="40"/>
          <w:szCs w:val="40"/>
        </w:rPr>
        <w:t xml:space="preserve">SECTION 4 — THE ARCHETYPE DOCTRINE</w:t>
      </w:r>
    </w:p>
    <w:p>
      <w:pPr>
        <w:spacing w:after="120" w:before="120"/>
      </w:pPr>
      <w:r>
        <w:rPr>
          <w:rFonts w:ascii="Arial" w:cs="Arial" w:eastAsia="Arial" w:hAnsi="Arial"/>
          <w:color w:val="CCCCCC"/>
          <w:sz w:val="22"/>
          <w:szCs w:val="22"/>
        </w:rPr>
        <w:t xml:space="preserve">AA2 was not built for a hypothetical user. It was built around a real one. The founder is the first initiate. His biology is the baseline. His 90 days of data is the proof of concept. His stack is the archetype every future member's membrane calibrates against.</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"Dr. Field LAB opened January 1, 2026. The experiment was always real. The subject was always the scientist."</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"I AM THE RECEIPT."</w:t>
      </w:r>
    </w:p>
    <w:p>
      <w:pPr>
        <w:pStyle w:val="Heading2"/>
        <w:spacing w:after="180" w:before="360"/>
      </w:pPr>
      <w:r>
        <w:rPr>
          <w:rFonts w:ascii="Arial" w:cs="Arial" w:eastAsia="Arial" w:hAnsi="Arial"/>
          <w:b/>
          <w:bCs/>
          <w:color w:val="FFFFFF"/>
          <w:sz w:val="30"/>
          <w:szCs w:val="30"/>
        </w:rPr>
        <w:t xml:space="preserve">THE ARCHETYPE HARDWARE STACK — FULL INSTRUMENT</w:t>
      </w:r>
    </w:p>
    <w:p>
      <w:pPr>
        <w:pStyle w:val="ListParagraph"/>
        <w:numPr>
          <w:ilvl w:val="0"/>
          <w:numId w:val="2"/>
        </w:numPr>
        <w:spacing w:after="80" w:before="80"/>
      </w:pPr>
      <w:r>
        <w:rPr>
          <w:rFonts w:ascii="Arial" w:cs="Arial" w:eastAsia="Arial" w:hAnsi="Arial"/>
          <w:b w:val="false"/>
          <w:bCs w:val="false"/>
          <w:color w:val="CCCCCC"/>
          <w:sz w:val="22"/>
          <w:szCs w:val="22"/>
        </w:rPr>
        <w:t xml:space="preserve">GARMIN TACTIX 8 — Military grade. HRV. Stress. Sleep. Recovery. Body Battery. Mission-ready biosignal tracking. Bio Buddy's primary tactical feed. 90 days of data curated and downloadable.</w:t>
      </w:r>
    </w:p>
    <w:p>
      <w:pPr>
        <w:pStyle w:val="ListParagraph"/>
        <w:numPr>
          <w:ilvl w:val="0"/>
          <w:numId w:val="2"/>
        </w:numPr>
        <w:spacing w:after="80" w:before="80"/>
      </w:pPr>
      <w:r>
        <w:rPr>
          <w:rFonts w:ascii="Arial" w:cs="Arial" w:eastAsia="Arial" w:hAnsi="Arial"/>
          <w:b w:val="false"/>
          <w:bCs w:val="false"/>
          <w:color w:val="CCCCCC"/>
          <w:sz w:val="22"/>
          <w:szCs w:val="22"/>
        </w:rPr>
        <w:t xml:space="preserve">OURA 4 RING — Most precise sleep and recovery wearable available. Readiness scores. HRV trends. Temperature deviation. Circadian rhythm mapping. The overnight truth — what the body does when the conscious mind steps aside.</w:t>
      </w:r>
    </w:p>
    <w:p>
      <w:pPr>
        <w:pStyle w:val="ListParagraph"/>
        <w:numPr>
          <w:ilvl w:val="0"/>
          <w:numId w:val="2"/>
        </w:numPr>
        <w:spacing w:after="80" w:before="80"/>
      </w:pPr>
      <w:r>
        <w:rPr>
          <w:rFonts w:ascii="Arial" w:cs="Arial" w:eastAsia="Arial" w:hAnsi="Arial"/>
          <w:b w:val="false"/>
          <w:bCs w:val="false"/>
          <w:color w:val="CCCCCC"/>
          <w:sz w:val="22"/>
          <w:szCs w:val="22"/>
        </w:rPr>
        <w:t xml:space="preserve">BEATS PRO 2 WITH HEART MONITOR — Real time heart rate during activity, stress, social exposure, and movement. The ambient truth layer — what the body does in the middle of life not just at rest.</w:t>
      </w:r>
    </w:p>
    <w:p>
      <w:pPr>
        <w:pStyle w:val="ListParagraph"/>
        <w:numPr>
          <w:ilvl w:val="0"/>
          <w:numId w:val="2"/>
        </w:numPr>
        <w:spacing w:after="80" w:before="80"/>
      </w:pPr>
      <w:r>
        <w:rPr>
          <w:rFonts w:ascii="Arial" w:cs="Arial" w:eastAsia="Arial" w:hAnsi="Arial"/>
          <w:b w:val="false"/>
          <w:bCs w:val="false"/>
          <w:color w:val="CCCCCC"/>
          <w:sz w:val="22"/>
          <w:szCs w:val="22"/>
        </w:rPr>
        <w:t xml:space="preserve">META GLASSES — The Rolling Cam. Visual membrane. Environmental capture. Live translation via Oakley integration. The Timmy Uber scenario recording layer. The eyes that extend beyond the phone.</w:t>
      </w:r>
    </w:p>
    <w:p>
      <w:pPr>
        <w:pStyle w:val="ListParagraph"/>
        <w:numPr>
          <w:ilvl w:val="0"/>
          <w:numId w:val="2"/>
        </w:numPr>
        <w:spacing w:after="80" w:before="80"/>
      </w:pPr>
      <w:r>
        <w:rPr>
          <w:rFonts w:ascii="Arial" w:cs="Arial" w:eastAsia="Arial" w:hAnsi="Arial"/>
          <w:b w:val="false"/>
          <w:bCs w:val="false"/>
          <w:color w:val="CCCCCC"/>
          <w:sz w:val="22"/>
          <w:szCs w:val="22"/>
        </w:rPr>
        <w:t xml:space="preserve">MUDRA HEADBAND — THE CROWN. Neural interface. The final activation. The last piece. When this connects the membrane reads the mind. The crown of the full instrument. As above — the neural signal — so below — the biosignal stack beneath it.</w:t>
      </w:r>
    </w:p>
    <w:p>
      <w:pPr>
        <w:pStyle w:val="Heading2"/>
        <w:spacing w:after="180" w:before="360"/>
      </w:pPr>
      <w:r>
        <w:rPr>
          <w:rFonts w:ascii="Arial" w:cs="Arial" w:eastAsia="Arial" w:hAnsi="Arial"/>
          <w:b/>
          <w:bCs/>
          <w:color w:val="FFFFFF"/>
          <w:sz w:val="30"/>
          <w:szCs w:val="30"/>
        </w:rPr>
        <w:t xml:space="preserve">THE FAMILY ECOSYSTEM — THE LIVING CAST</w:t>
      </w:r>
    </w:p>
    <w:p>
      <w:pPr>
        <w:pStyle w:val="ListParagraph"/>
        <w:numPr>
          <w:ilvl w:val="0"/>
          <w:numId w:val="2"/>
        </w:numPr>
        <w:spacing w:after="80" w:before="80"/>
      </w:pPr>
      <w:r>
        <w:rPr>
          <w:rFonts w:ascii="Arial" w:cs="Arial" w:eastAsia="Arial" w:hAnsi="Arial"/>
          <w:b w:val="false"/>
          <w:bCs w:val="false"/>
          <w:color w:val="CCCCCC"/>
          <w:sz w:val="22"/>
          <w:szCs w:val="22"/>
        </w:rPr>
        <w:t xml:space="preserve">JAMES R. PITTS II — The Archetype. Founder. Applied Biosignal Scientist. Living Reference. Patient Zero. The Receipt.</w:t>
      </w:r>
    </w:p>
    <w:p>
      <w:pPr>
        <w:pStyle w:val="ListParagraph"/>
        <w:numPr>
          <w:ilvl w:val="0"/>
          <w:numId w:val="2"/>
        </w:numPr>
        <w:spacing w:after="80" w:before="80"/>
      </w:pPr>
      <w:r>
        <w:rPr>
          <w:rFonts w:ascii="Arial" w:cs="Arial" w:eastAsia="Arial" w:hAnsi="Arial"/>
          <w:b w:val="false"/>
          <w:bCs w:val="false"/>
          <w:color w:val="CCCCCC"/>
          <w:sz w:val="22"/>
          <w:szCs w:val="22"/>
        </w:rPr>
        <w:t xml:space="preserve">HIS DAUGHTER — 26. Lives in LA. The young adult spoke personified. Family dashboard. Membrane Security active on every Uber, Lyft, Waymo she enters. The Rolling Cam. The SOS. Connected to tribe in 5 seconds.</w:t>
      </w:r>
    </w:p>
    <w:p>
      <w:pPr>
        <w:pStyle w:val="ListParagraph"/>
        <w:numPr>
          <w:ilvl w:val="0"/>
          <w:numId w:val="2"/>
        </w:numPr>
        <w:spacing w:after="80" w:before="80"/>
      </w:pPr>
      <w:r>
        <w:rPr>
          <w:rFonts w:ascii="Arial" w:cs="Arial" w:eastAsia="Arial" w:hAnsi="Arial"/>
          <w:b w:val="false"/>
          <w:bCs w:val="false"/>
          <w:color w:val="CCCCCC"/>
          <w:sz w:val="22"/>
          <w:szCs w:val="22"/>
        </w:rPr>
        <w:t xml:space="preserve">HER DOG — Slightly on the spectrum. The most important K9 behavioral biosignal calibration case in the entire system. Neurologically different animals communicate differently. Their stress signals present differently. AA2 was built for this exact animal — not the average dog.</w:t>
      </w:r>
    </w:p>
    <w:p>
      <w:pPr>
        <w:pStyle w:val="ListParagraph"/>
        <w:numPr>
          <w:ilvl w:val="0"/>
          <w:numId w:val="2"/>
        </w:numPr>
        <w:spacing w:after="80" w:before="80"/>
      </w:pPr>
      <w:r>
        <w:rPr>
          <w:rFonts w:ascii="Arial" w:cs="Arial" w:eastAsia="Arial" w:hAnsi="Arial"/>
          <w:b w:val="false"/>
          <w:bCs w:val="false"/>
          <w:color w:val="CCCCCC"/>
          <w:sz w:val="22"/>
          <w:szCs w:val="22"/>
        </w:rPr>
        <w:t xml:space="preserve">HER BOYFRIEND — Italian chef from Italy. The Chef spoke made human. Live International Cooking with a native speaker. Italian language activation. CANAAN in real life. Meta Glasses live translation active during every session.</w:t>
      </w:r>
    </w:p>
    <w:p>
      <w:pPr>
        <w:pStyle w:val="ListParagraph"/>
        <w:numPr>
          <w:ilvl w:val="0"/>
          <w:numId w:val="2"/>
        </w:numPr>
        <w:spacing w:after="80" w:before="80"/>
      </w:pPr>
      <w:r>
        <w:rPr>
          <w:rFonts w:ascii="Arial" w:cs="Arial" w:eastAsia="Arial" w:hAnsi="Arial"/>
          <w:b w:val="false"/>
          <w:bCs w:val="false"/>
          <w:color w:val="CCCCCC"/>
          <w:sz w:val="22"/>
          <w:szCs w:val="22"/>
        </w:rPr>
        <w:t xml:space="preserve">THE CORSOS — AA2 Tactical K9. Operation Taffy. Meet me in the wild. The guardians. Already wearing the brand.</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"I built it for everyone. I tested it on myself. I proved it on the people I love most. That is not a beta test. That is a legacy in motion."</w:t>
      </w:r>
    </w:p>
    <w:p>
      <w:pPr>
        <w:pBdr>
          <w:bottom w:val="single" w:color="C9A84C" w:sz="8"/>
        </w:pBdr>
        <w:spacing w:after="280" w:before="280"/>
      </w:pPr>
      <w:r>
        <w:t xml:space="preserve"/>
      </w:r>
    </w:p>
    <w:p>
      <w:r>
        <w:br w:type="page"/>
      </w:r>
    </w:p>
    <w:p>
      <w:pPr>
        <w:pStyle w:val="Heading1"/>
        <w:spacing w:after="240" w:before="560"/>
      </w:pPr>
      <w:r>
        <w:rPr>
          <w:rFonts w:ascii="Arial" w:cs="Arial" w:eastAsia="Arial" w:hAnsi="Arial"/>
          <w:b/>
          <w:bCs/>
          <w:color w:val="C9A84C"/>
          <w:sz w:val="40"/>
          <w:szCs w:val="40"/>
        </w:rPr>
        <w:t xml:space="preserve">SECTION 5 — PANAMA &amp; COSTA RICA LABORATORY DOCTRINE</w:t>
      </w:r>
    </w:p>
    <w:p>
      <w:pPr>
        <w:spacing w:after="120" w:before="120"/>
      </w:pPr>
      <w:r>
        <w:rPr>
          <w:rFonts w:ascii="Arial" w:cs="Arial" w:eastAsia="Arial" w:hAnsi="Arial"/>
          <w:color w:val="CCCCCC"/>
          <w:sz w:val="22"/>
          <w:szCs w:val="22"/>
        </w:rPr>
        <w:t xml:space="preserve">Panama is not a tax strategy. Panama is not a legal convenience. Panama is the most strategically positioned country in the Western Hemisphere for what AA2 is building — and every aspect of that positioning was intentional.</w:t>
      </w:r>
    </w:p>
    <w:p>
      <w:pPr>
        <w:pStyle w:val="Heading2"/>
        <w:spacing w:after="180" w:before="360"/>
      </w:pPr>
      <w:r>
        <w:rPr>
          <w:rFonts w:ascii="Arial" w:cs="Arial" w:eastAsia="Arial" w:hAnsi="Arial"/>
          <w:b/>
          <w:bCs/>
          <w:color w:val="FFFFFF"/>
          <w:sz w:val="30"/>
          <w:szCs w:val="30"/>
        </w:rPr>
        <w:t xml:space="preserve">WHY PANAMA</w:t>
      </w:r>
    </w:p>
    <w:p>
      <w:pPr>
        <w:pStyle w:val="ListParagraph"/>
        <w:numPr>
          <w:ilvl w:val="0"/>
          <w:numId w:val="2"/>
        </w:numPr>
        <w:spacing w:after="80" w:before="80"/>
      </w:pPr>
      <w:r>
        <w:rPr>
          <w:rFonts w:ascii="Arial" w:cs="Arial" w:eastAsia="Arial" w:hAnsi="Arial"/>
          <w:b w:val="false"/>
          <w:bCs w:val="false"/>
          <w:color w:val="CCCCCC"/>
          <w:sz w:val="22"/>
          <w:szCs w:val="22"/>
        </w:rPr>
        <w:t xml:space="preserve">Geographic center of the Americas — North and South — gateway to both</w:t>
      </w:r>
    </w:p>
    <w:p>
      <w:pPr>
        <w:pStyle w:val="ListParagraph"/>
        <w:numPr>
          <w:ilvl w:val="0"/>
          <w:numId w:val="2"/>
        </w:numPr>
        <w:spacing w:after="80" w:before="80"/>
      </w:pPr>
      <w:r>
        <w:rPr>
          <w:rFonts w:ascii="Arial" w:cs="Arial" w:eastAsia="Arial" w:hAnsi="Arial"/>
          <w:b w:val="false"/>
          <w:bCs w:val="false"/>
          <w:color w:val="CCCCCC"/>
          <w:sz w:val="22"/>
          <w:szCs w:val="22"/>
        </w:rPr>
        <w:t xml:space="preserve">Panama incorporation provides international sovereign legal architecture</w:t>
      </w:r>
    </w:p>
    <w:p>
      <w:pPr>
        <w:pStyle w:val="ListParagraph"/>
        <w:numPr>
          <w:ilvl w:val="0"/>
          <w:numId w:val="2"/>
        </w:numPr>
        <w:spacing w:after="80" w:before="80"/>
      </w:pPr>
      <w:r>
        <w:rPr>
          <w:rFonts w:ascii="Arial" w:cs="Arial" w:eastAsia="Arial" w:hAnsi="Arial"/>
          <w:b w:val="false"/>
          <w:bCs w:val="false"/>
          <w:color w:val="CCCCCC"/>
          <w:sz w:val="22"/>
          <w:szCs w:val="22"/>
        </w:rPr>
        <w:t xml:space="preserve">Direct proximity to Costa Rica — the proving ground for the live laboratory</w:t>
      </w:r>
    </w:p>
    <w:p>
      <w:pPr>
        <w:pStyle w:val="ListParagraph"/>
        <w:numPr>
          <w:ilvl w:val="0"/>
          <w:numId w:val="2"/>
        </w:numPr>
        <w:spacing w:after="80" w:before="80"/>
      </w:pPr>
      <w:r>
        <w:rPr>
          <w:rFonts w:ascii="Arial" w:cs="Arial" w:eastAsia="Arial" w:hAnsi="Arial"/>
          <w:b w:val="false"/>
          <w:bCs w:val="false"/>
          <w:color w:val="CCCCCC"/>
          <w:sz w:val="22"/>
          <w:szCs w:val="22"/>
        </w:rPr>
        <w:t xml:space="preserve">Panama Canal — the most important logistical corridor on earth — a monument to what human vision builds when it refuses to accept geographic limitation</w:t>
      </w:r>
    </w:p>
    <w:p>
      <w:pPr>
        <w:pStyle w:val="ListParagraph"/>
        <w:numPr>
          <w:ilvl w:val="0"/>
          <w:numId w:val="2"/>
        </w:numPr>
        <w:spacing w:after="80" w:before="80"/>
      </w:pPr>
      <w:r>
        <w:rPr>
          <w:rFonts w:ascii="Arial" w:cs="Arial" w:eastAsia="Arial" w:hAnsi="Arial"/>
          <w:b w:val="false"/>
          <w:bCs w:val="false"/>
          <w:color w:val="CCCCCC"/>
          <w:sz w:val="22"/>
          <w:szCs w:val="22"/>
        </w:rPr>
        <w:t xml:space="preserve">A country built on the philosophy that impossible connections can be made permanent</w:t>
      </w:r>
    </w:p>
    <w:p>
      <w:pPr>
        <w:pStyle w:val="Heading2"/>
        <w:spacing w:after="180" w:before="360"/>
      </w:pPr>
      <w:r>
        <w:rPr>
          <w:rFonts w:ascii="Arial" w:cs="Arial" w:eastAsia="Arial" w:hAnsi="Arial"/>
          <w:b/>
          <w:bCs/>
          <w:color w:val="FFFFFF"/>
          <w:sz w:val="30"/>
          <w:szCs w:val="30"/>
        </w:rPr>
        <w:t xml:space="preserve">THE COSTA RICA PROVING GROUND</w:t>
      </w:r>
    </w:p>
    <w:p>
      <w:pPr>
        <w:spacing w:after="120" w:before="120"/>
      </w:pPr>
      <w:r>
        <w:rPr>
          <w:rFonts w:ascii="Arial" w:cs="Arial" w:eastAsia="Arial" w:hAnsi="Arial"/>
          <w:color w:val="CCCCCC"/>
          <w:sz w:val="22"/>
          <w:szCs w:val="22"/>
        </w:rPr>
        <w:t xml:space="preserve">Costa Rica is not a vacation destination in the AA2 architecture. It is the most pre-qualified laboratory environment on earth for what AA2 is proving — because it already hosts the exact population of initiates that AA2 was built to serve.</w:t>
      </w:r>
    </w:p>
    <w:p>
      <w:pPr>
        <w:pStyle w:val="ListParagraph"/>
        <w:numPr>
          <w:ilvl w:val="0"/>
          <w:numId w:val="2"/>
        </w:numPr>
        <w:spacing w:after="80" w:before="80"/>
      </w:pPr>
      <w:r>
        <w:rPr>
          <w:rFonts w:ascii="Arial" w:cs="Arial" w:eastAsia="Arial" w:hAnsi="Arial"/>
          <w:b w:val="false"/>
          <w:bCs w:val="false"/>
          <w:color w:val="CCCCCC"/>
          <w:sz w:val="22"/>
          <w:szCs w:val="22"/>
        </w:rPr>
        <w:t xml:space="preserve">JOE DISPENZA CONVENTIONS — The most biologically self-aware, transformation-committed, wearable-using population on earth. Already tracking biosignals. Already invested in personal development. Already spending significant resources on their evolution. The most pre-qualified AA2 subscriber pool in existence — gathered in one location.</w:t>
      </w:r>
    </w:p>
    <w:p>
      <w:pPr>
        <w:pStyle w:val="ListParagraph"/>
        <w:numPr>
          <w:ilvl w:val="0"/>
          <w:numId w:val="2"/>
        </w:numPr>
        <w:spacing w:after="80" w:before="80"/>
      </w:pPr>
      <w:r>
        <w:rPr>
          <w:rFonts w:ascii="Arial" w:cs="Arial" w:eastAsia="Arial" w:hAnsi="Arial"/>
          <w:b w:val="false"/>
          <w:bCs w:val="false"/>
          <w:color w:val="CCCCCC"/>
          <w:sz w:val="22"/>
          <w:szCs w:val="22"/>
        </w:rPr>
        <w:t xml:space="preserve">YOGA RETREATS — Heart coherence practitioners. HRV optimizers. Breathwork communities. Bio Buddy's natural habitat.</w:t>
      </w:r>
    </w:p>
    <w:p>
      <w:pPr>
        <w:pStyle w:val="ListParagraph"/>
        <w:numPr>
          <w:ilvl w:val="0"/>
          <w:numId w:val="2"/>
        </w:numPr>
        <w:spacing w:after="80" w:before="80"/>
      </w:pPr>
      <w:r>
        <w:rPr>
          <w:rFonts w:ascii="Arial" w:cs="Arial" w:eastAsia="Arial" w:hAnsi="Arial"/>
          <w:b w:val="false"/>
          <w:bCs w:val="false"/>
          <w:color w:val="CCCCCC"/>
          <w:sz w:val="22"/>
          <w:szCs w:val="22"/>
        </w:rPr>
        <w:t xml:space="preserve">GOLF TOURNAMENTS — High net worth individuals. Performance optimization culture. Precision data users. The HNWI spoke activated in front of its exact audience.</w:t>
      </w:r>
    </w:p>
    <w:p>
      <w:pPr>
        <w:pStyle w:val="ListParagraph"/>
        <w:numPr>
          <w:ilvl w:val="0"/>
          <w:numId w:val="2"/>
        </w:numPr>
        <w:spacing w:after="80" w:before="80"/>
      </w:pPr>
      <w:r>
        <w:rPr>
          <w:rFonts w:ascii="Arial" w:cs="Arial" w:eastAsia="Arial" w:hAnsi="Arial"/>
          <w:b w:val="false"/>
          <w:bCs w:val="false"/>
          <w:color w:val="CCCCCC"/>
          <w:sz w:val="22"/>
          <w:szCs w:val="22"/>
        </w:rPr>
        <w:t xml:space="preserve">HORSE RACES — The Equestrian spoke in its natural environment. Feed scanning. Supplement verification. FEI competition compliance. Real handlers with real animals with real stakes.</w:t>
      </w:r>
    </w:p>
    <w:p>
      <w:pPr>
        <w:pStyle w:val="ListParagraph"/>
        <w:numPr>
          <w:ilvl w:val="0"/>
          <w:numId w:val="2"/>
        </w:numPr>
        <w:spacing w:after="80" w:before="80"/>
      </w:pPr>
      <w:r>
        <w:rPr>
          <w:rFonts w:ascii="Arial" w:cs="Arial" w:eastAsia="Arial" w:hAnsi="Arial"/>
          <w:b w:val="false"/>
          <w:bCs w:val="false"/>
          <w:color w:val="CCCCCC"/>
          <w:sz w:val="22"/>
          <w:szCs w:val="22"/>
        </w:rPr>
        <w:t xml:space="preserve">PANAMANIAN JAZZ FESTIVAL — The cultural community layer. Live connection. Language. Food. The membrane's social intelligence activated in a celebration environment.</w:t>
      </w:r>
    </w:p>
    <w:p>
      <w:pPr>
        <w:pStyle w:val="Heading2"/>
        <w:spacing w:after="180" w:before="360"/>
      </w:pPr>
      <w:r>
        <w:rPr>
          <w:rFonts w:ascii="Arial" w:cs="Arial" w:eastAsia="Arial" w:hAnsi="Arial"/>
          <w:b/>
          <w:bCs/>
          <w:color w:val="FFFFFF"/>
          <w:sz w:val="30"/>
          <w:szCs w:val="30"/>
        </w:rPr>
        <w:t xml:space="preserve">THE DISPENZA CONVENTION DEPLOYMENT — LOCKED STRATEGY</w:t>
      </w:r>
    </w:p>
    <w:p>
      <w:pPr>
        <w:spacing w:after="120" w:before="120"/>
      </w:pPr>
      <w:r>
        <w:rPr>
          <w:rFonts w:ascii="Arial" w:cs="Arial" w:eastAsia="Arial" w:hAnsi="Arial"/>
          <w:color w:val="CCCCCC"/>
          <w:sz w:val="22"/>
          <w:szCs w:val="22"/>
        </w:rPr>
        <w:t xml:space="preserve">This is an internal strategic operation. Not a marketing campaign. Not a sponsorship play. A deployment.</w:t>
      </w:r>
    </w:p>
    <w:p>
      <w:pPr>
        <w:spacing w:after="120" w:before="120"/>
      </w:pPr>
      <w:r>
        <w:rPr>
          <w:rFonts w:ascii="Arial" w:cs="Arial" w:eastAsia="Arial" w:hAnsi="Arial"/>
          <w:color w:val="CCCCCC"/>
          <w:sz w:val="22"/>
          <w:szCs w:val="22"/>
        </w:rPr>
        <w:t xml:space="preserve">The founder walks into a Dispenza convention in Costa Rica wearing the full hardware stack. Garmin Tactix 8 on the wrist. Oura 4 on the finger. Beats Pro 2 in the ears. Meta Glasses on the face. Mudra Crown on the head. I AM THE RECEIPT on the chest. Equalizer Bios on the back.</w:t>
      </w:r>
    </w:p>
    <w:p>
      <w:pPr>
        <w:spacing w:after="120" w:before="120"/>
      </w:pPr>
      <w:r>
        <w:rPr>
          <w:rFonts w:ascii="Arial" w:cs="Arial" w:eastAsia="Arial" w:hAnsi="Arial"/>
          <w:color w:val="CCCCCC"/>
          <w:sz w:val="22"/>
          <w:szCs w:val="22"/>
        </w:rPr>
        <w:t xml:space="preserve">Every biosignal on that shirt back — being measured simultaneously on the body wearing it. In real time. At a convention built around proving that biology responds to intention.</w:t>
      </w:r>
    </w:p>
    <w:p>
      <w:pPr>
        <w:spacing w:after="120" w:before="120"/>
      </w:pPr>
      <w:r>
        <w:rPr>
          <w:rFonts w:ascii="Arial" w:cs="Arial" w:eastAsia="Arial" w:hAnsi="Arial"/>
          <w:color w:val="CCCCCC"/>
          <w:sz w:val="22"/>
          <w:szCs w:val="22"/>
        </w:rPr>
        <w:t xml:space="preserve">By day two Joe Dispenza will ask to talk. Not because of a pitch. Because he will have watched the membrane walking through his convention for two days — measuring everything he teaches — on a human being who built the technology to prove it.</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"I am not your student. I am your proof. And I built the membrane to make sure the world can see it."</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"Panama is not a tax strategy. Panama is the laboratory. Costa Rica is the proving ground. The Dispenza conventions, the jazz festivals, the horse races, the yoga retreats — that is not a coincidence. That is the membrane meeting its most ready initiates exactly where they already are."</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"When AA2 is proven and the data is undeniable — the reveal elevates Joe Dispenza to a level even he has not yet imagined. Because the founder did not just attend his conventions. He built the technology that makes Dispenza's teachings undeniable."</w:t>
      </w:r>
    </w:p>
    <w:p>
      <w:pPr>
        <w:pBdr>
          <w:bottom w:val="single" w:color="C9A84C" w:sz="8"/>
        </w:pBdr>
        <w:spacing w:after="280" w:before="280"/>
      </w:pPr>
      <w:r>
        <w:t xml:space="preserve"/>
      </w:r>
    </w:p>
    <w:p>
      <w:r>
        <w:br w:type="page"/>
      </w:r>
    </w:p>
    <w:p>
      <w:pPr>
        <w:pStyle w:val="Heading1"/>
        <w:spacing w:after="240" w:before="560"/>
      </w:pPr>
      <w:r>
        <w:rPr>
          <w:rFonts w:ascii="Arial" w:cs="Arial" w:eastAsia="Arial" w:hAnsi="Arial"/>
          <w:b/>
          <w:bCs/>
          <w:color w:val="C9A84C"/>
          <w:sz w:val="40"/>
          <w:szCs w:val="40"/>
        </w:rPr>
        <w:t xml:space="preserve">SECTION 6 — DATA SOVEREIGNTY DOCTRINE</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"Other platforms use your data for themselves and tell you later. AA2 uses your data for you and tells you first."</w:t>
      </w:r>
    </w:p>
    <w:p>
      <w:pPr>
        <w:pStyle w:val="Heading2"/>
        <w:spacing w:after="180" w:before="360"/>
      </w:pPr>
      <w:r>
        <w:rPr>
          <w:rFonts w:ascii="Arial" w:cs="Arial" w:eastAsia="Arial" w:hAnsi="Arial"/>
          <w:b/>
          <w:bCs/>
          <w:color w:val="FFFFFF"/>
          <w:sz w:val="30"/>
          <w:szCs w:val="30"/>
        </w:rPr>
        <w:t xml:space="preserve">THE CORE LAW</w:t>
      </w:r>
    </w:p>
    <w:p>
      <w:pPr>
        <w:spacing w:after="120" w:before="120"/>
      </w:pPr>
      <w:r>
        <w:rPr>
          <w:rFonts w:ascii="Arial" w:cs="Arial" w:eastAsia="Arial" w:hAnsi="Arial"/>
          <w:color w:val="CCCCCC"/>
          <w:sz w:val="22"/>
          <w:szCs w:val="22"/>
        </w:rPr>
        <w:t xml:space="preserve">AA2 keeps its interpretation. Not your data. The same model Apple operates under. The same model Samsung operates under. AA2's interpretation of what you voluntarily shared powers the membrane. Your raw data remains yours. Always. Without exception.</w:t>
      </w:r>
    </w:p>
    <w:p>
      <w:pPr>
        <w:spacing w:after="120" w:before="120"/>
      </w:pPr>
      <w:r>
        <w:rPr>
          <w:rFonts w:ascii="Arial" w:cs="Arial" w:eastAsia="Arial" w:hAnsi="Arial"/>
          <w:color w:val="CCCCCC"/>
          <w:sz w:val="22"/>
          <w:szCs w:val="22"/>
        </w:rPr>
        <w:t xml:space="preserve">AA2's interpretation is a communication style. Not a medical opinion. Not a scientific diagnosis. No different than hiring a language interpreter — you own the words, you chose who interprets them, you retain the original.</w:t>
      </w:r>
    </w:p>
    <w:p>
      <w:pPr>
        <w:pStyle w:val="Heading2"/>
        <w:spacing w:after="180" w:before="360"/>
      </w:pPr>
      <w:r>
        <w:rPr>
          <w:rFonts w:ascii="Arial" w:cs="Arial" w:eastAsia="Arial" w:hAnsi="Arial"/>
          <w:b/>
          <w:bCs/>
          <w:color w:val="FFFFFF"/>
          <w:sz w:val="30"/>
          <w:szCs w:val="30"/>
        </w:rPr>
        <w:t xml:space="preserve">THE CONSENT ARCHITECTURE</w:t>
      </w:r>
    </w:p>
    <w:p>
      <w:pPr>
        <w:pStyle w:val="ListParagraph"/>
        <w:numPr>
          <w:ilvl w:val="0"/>
          <w:numId w:val="2"/>
        </w:numPr>
        <w:spacing w:after="80" w:before="80"/>
      </w:pPr>
      <w:r>
        <w:rPr>
          <w:rFonts w:ascii="Arial" w:cs="Arial" w:eastAsia="Arial" w:hAnsi="Arial"/>
          <w:b w:val="false"/>
          <w:bCs w:val="false"/>
          <w:color w:val="CCCCCC"/>
          <w:sz w:val="22"/>
          <w:szCs w:val="22"/>
        </w:rPr>
        <w:t xml:space="preserve">1. DISCLOSURE — Here is exactly what we are asking for and exactly why — before onboarding begins</w:t>
      </w:r>
    </w:p>
    <w:p>
      <w:pPr>
        <w:pStyle w:val="ListParagraph"/>
        <w:numPr>
          <w:ilvl w:val="0"/>
          <w:numId w:val="2"/>
        </w:numPr>
        <w:spacing w:after="80" w:before="80"/>
      </w:pPr>
      <w:r>
        <w:rPr>
          <w:rFonts w:ascii="Arial" w:cs="Arial" w:eastAsia="Arial" w:hAnsi="Arial"/>
          <w:b w:val="false"/>
          <w:bCs w:val="false"/>
          <w:color w:val="CCCCCC"/>
          <w:sz w:val="22"/>
          <w:szCs w:val="22"/>
        </w:rPr>
        <w:t xml:space="preserve">2. EDUCATION — Here is what happens with it inside the membrane</w:t>
      </w:r>
    </w:p>
    <w:p>
      <w:pPr>
        <w:pStyle w:val="ListParagraph"/>
        <w:numPr>
          <w:ilvl w:val="0"/>
          <w:numId w:val="2"/>
        </w:numPr>
        <w:spacing w:after="80" w:before="80"/>
      </w:pPr>
      <w:r>
        <w:rPr>
          <w:rFonts w:ascii="Arial" w:cs="Arial" w:eastAsia="Arial" w:hAnsi="Arial"/>
          <w:b w:val="false"/>
          <w:bCs w:val="false"/>
          <w:color w:val="CCCCCC"/>
          <w:sz w:val="22"/>
          <w:szCs w:val="22"/>
        </w:rPr>
        <w:t xml:space="preserve">3. CHOICE — You decide. No pressure. No buried checkbox. No beta feature data exchange.</w:t>
      </w:r>
    </w:p>
    <w:p>
      <w:pPr>
        <w:pStyle w:val="ListParagraph"/>
        <w:numPr>
          <w:ilvl w:val="0"/>
          <w:numId w:val="2"/>
        </w:numPr>
        <w:spacing w:after="80" w:before="80"/>
      </w:pPr>
      <w:r>
        <w:rPr>
          <w:rFonts w:ascii="Arial" w:cs="Arial" w:eastAsia="Arial" w:hAnsi="Arial"/>
          <w:b w:val="false"/>
          <w:bCs w:val="false"/>
          <w:color w:val="CCCCCC"/>
          <w:sz w:val="22"/>
          <w:szCs w:val="22"/>
        </w:rPr>
        <w:t xml:space="preserve">4. CONFIRMATION — Active opt-in. The signed record reflects it.</w:t>
      </w:r>
    </w:p>
    <w:p>
      <w:pPr>
        <w:pStyle w:val="ListParagraph"/>
        <w:numPr>
          <w:ilvl w:val="0"/>
          <w:numId w:val="2"/>
        </w:numPr>
        <w:spacing w:after="80" w:before="80"/>
      </w:pPr>
      <w:r>
        <w:rPr>
          <w:rFonts w:ascii="Arial" w:cs="Arial" w:eastAsia="Arial" w:hAnsi="Arial"/>
          <w:b w:val="false"/>
          <w:bCs w:val="false"/>
          <w:color w:val="CCCCCC"/>
          <w:sz w:val="22"/>
          <w:szCs w:val="22"/>
        </w:rPr>
        <w:t xml:space="preserve">5. REVOCATION — Change your mind at any time. Instantly. No hoops. No penalty.</w:t>
      </w:r>
    </w:p>
    <w:p>
      <w:pPr>
        <w:pStyle w:val="Heading2"/>
        <w:spacing w:after="180" w:before="360"/>
      </w:pPr>
      <w:r>
        <w:rPr>
          <w:rFonts w:ascii="Arial" w:cs="Arial" w:eastAsia="Arial" w:hAnsi="Arial"/>
          <w:b/>
          <w:bCs/>
          <w:color w:val="FFFFFF"/>
          <w:sz w:val="30"/>
          <w:szCs w:val="30"/>
        </w:rPr>
        <w:t xml:space="preserve">SIGNATURE ARCHITECTURE</w:t>
      </w:r>
    </w:p>
    <w:p>
      <w:pPr>
        <w:spacing w:after="120" w:before="120"/>
      </w:pPr>
      <w:r>
        <w:rPr>
          <w:rFonts w:ascii="Arial" w:cs="Arial" w:eastAsia="Arial" w:hAnsi="Arial"/>
          <w:color w:val="CCCCCC"/>
          <w:sz w:val="22"/>
          <w:szCs w:val="22"/>
        </w:rPr>
        <w:t xml:space="preserve">AA2 does not ask you to check a box and hope you read it. AA2 requires a signature window pane and initial boxes at every sensitive step. An emailed PDF — downloadable and court-admissible — serves as legal record for AA2 and the customer simultaneously. If a signature is forged the liability transfers entirely to the person who falsified the document.</w:t>
      </w:r>
    </w:p>
    <w:p>
      <w:pPr>
        <w:pStyle w:val="Heading2"/>
        <w:spacing w:after="180" w:before="360"/>
      </w:pPr>
      <w:r>
        <w:rPr>
          <w:rFonts w:ascii="Arial" w:cs="Arial" w:eastAsia="Arial" w:hAnsi="Arial"/>
          <w:b/>
          <w:bCs/>
          <w:color w:val="FFFFFF"/>
          <w:sz w:val="30"/>
          <w:szCs w:val="30"/>
        </w:rPr>
        <w:t xml:space="preserve">TERMS AND CONDITIONS — NEVER GENERIC</w:t>
      </w:r>
    </w:p>
    <w:p>
      <w:pPr>
        <w:spacing w:after="120" w:before="120"/>
      </w:pPr>
      <w:r>
        <w:rPr>
          <w:rFonts w:ascii="Arial" w:cs="Arial" w:eastAsia="Arial" w:hAnsi="Arial"/>
          <w:color w:val="CCCCCC"/>
          <w:sz w:val="22"/>
          <w:szCs w:val="22"/>
        </w:rPr>
        <w:t xml:space="preserve">Every region. Every country. Every applicable legal district gets terms written to match its specific laws, language, and requirements. The terms are a living document — as specific as the jurisdiction they govern. Country and region specific. Always. Without exception.</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"AA2 does not dare you to read the terms. AA2 writes terms worth reading."</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"The customer knows. AA2 knows. And if it ever reaches a court — the court will know too."</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"Other platforms treat data collection as a transaction they prefer you do not notice. AA2 treats data sharing as a relationship that requires your full understanding and your full consent before it begins. The difference is not legal strategy. The difference is character."</w:t>
      </w:r>
    </w:p>
    <w:p>
      <w:pPr>
        <w:pBdr>
          <w:bottom w:val="single" w:color="C9A84C" w:sz="8"/>
        </w:pBdr>
        <w:spacing w:after="280" w:before="280"/>
      </w:pPr>
      <w:r>
        <w:t xml:space="preserve"/>
      </w:r>
    </w:p>
    <w:p>
      <w:r>
        <w:br w:type="page"/>
      </w:r>
    </w:p>
    <w:p>
      <w:pPr>
        <w:pStyle w:val="Heading1"/>
        <w:spacing w:after="240" w:before="560"/>
      </w:pPr>
      <w:r>
        <w:rPr>
          <w:rFonts w:ascii="Arial" w:cs="Arial" w:eastAsia="Arial" w:hAnsi="Arial"/>
          <w:b/>
          <w:bCs/>
          <w:color w:val="C9A84C"/>
          <w:sz w:val="40"/>
          <w:szCs w:val="40"/>
        </w:rPr>
        <w:t xml:space="preserve">SECTION 7 — LIABILITY &amp; LEGAL ARCHITECTURE</w:t>
      </w:r>
    </w:p>
    <w:p>
      <w:pPr>
        <w:pStyle w:val="Heading2"/>
        <w:spacing w:after="180" w:before="360"/>
      </w:pPr>
      <w:r>
        <w:rPr>
          <w:rFonts w:ascii="Arial" w:cs="Arial" w:eastAsia="Arial" w:hAnsi="Arial"/>
          <w:b/>
          <w:bCs/>
          <w:color w:val="FFFFFF"/>
          <w:sz w:val="30"/>
          <w:szCs w:val="30"/>
        </w:rPr>
        <w:t xml:space="preserve">ALL 17 HOLES — IDENTIFIED AND 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9A84C" w:sz="1"/>
              <w:left w:val="single" w:color="C9A84C" w:sz="1"/>
              <w:bottom w:val="single" w:color="C9A84C" w:sz="1"/>
              <w:right w:val="single" w:color="C9A84C" w:sz="1"/>
            </w:tcBorders>
            <w:shd w:fill="1E1E1E" w:val="clear"/>
            <w:tcMar>
              <w:top w:type="dxa" w:w="100"/>
              <w:left w:type="dxa" w:w="140"/>
              <w:bottom w:type="dxa" w:w="100"/>
              <w:right w:type="dxa" w:w="140"/>
            </w:tcMar>
          </w:tcPr>
          <w:p>
            <w:r>
              <w:rPr>
                <w:rFonts w:ascii="Arial" w:cs="Arial" w:eastAsia="Arial" w:hAnsi="Arial"/>
                <w:b/>
                <w:bCs/>
                <w:color w:val="C9A84C"/>
                <w:sz w:val="20"/>
                <w:szCs w:val="20"/>
              </w:rPr>
              <w:t xml:space="preserve">CONCERN</w:t>
            </w:r>
          </w:p>
        </w:tc>
        <w:tc>
          <w:tcPr>
            <w:tcW w:type="dxa" w:w="1600"/>
            <w:tcBorders>
              <w:top w:val="single" w:color="C9A84C" w:sz="1"/>
              <w:left w:val="single" w:color="C9A84C" w:sz="1"/>
              <w:bottom w:val="single" w:color="C9A84C" w:sz="1"/>
              <w:right w:val="single" w:color="C9A84C" w:sz="1"/>
            </w:tcBorders>
            <w:shd w:fill="1E1E1E" w:val="clear"/>
            <w:tcMar>
              <w:top w:type="dxa" w:w="100"/>
              <w:left w:type="dxa" w:w="140"/>
              <w:bottom w:type="dxa" w:w="100"/>
              <w:right w:type="dxa" w:w="140"/>
            </w:tcMar>
          </w:tcPr>
          <w:p>
            <w:r>
              <w:rPr>
                <w:rFonts w:ascii="Arial" w:cs="Arial" w:eastAsia="Arial" w:hAnsi="Arial"/>
                <w:b/>
                <w:bCs/>
                <w:color w:val="C9A84C"/>
                <w:sz w:val="20"/>
                <w:szCs w:val="20"/>
              </w:rPr>
              <w:t xml:space="preserve">STATUS</w:t>
            </w:r>
          </w:p>
        </w:tc>
        <w:tc>
          <w:tcPr>
            <w:tcW w:type="dxa" w:w="4560"/>
            <w:tcBorders>
              <w:top w:val="single" w:color="C9A84C" w:sz="1"/>
              <w:left w:val="single" w:color="C9A84C" w:sz="1"/>
              <w:bottom w:val="single" w:color="C9A84C" w:sz="1"/>
              <w:right w:val="single" w:color="C9A84C" w:sz="1"/>
            </w:tcBorders>
            <w:shd w:fill="1E1E1E" w:val="clear"/>
            <w:tcMar>
              <w:top w:type="dxa" w:w="100"/>
              <w:left w:type="dxa" w:w="140"/>
              <w:bottom w:type="dxa" w:w="100"/>
              <w:right w:type="dxa" w:w="140"/>
            </w:tcMar>
          </w:tcPr>
          <w:p>
            <w:r>
              <w:rPr>
                <w:rFonts w:ascii="Arial" w:cs="Arial" w:eastAsia="Arial" w:hAnsi="Arial"/>
                <w:b/>
                <w:bCs/>
                <w:color w:val="C9A84C"/>
                <w:sz w:val="20"/>
                <w:szCs w:val="20"/>
              </w:rPr>
              <w:t xml:space="preserve">RESOLUTION</w:t>
            </w:r>
          </w:p>
        </w:tc>
      </w:tr>
      <w:tr>
        <w:tc>
          <w:tcPr>
            <w:tcW w:type="dxa" w:w="32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HIPAA / Health Data Liability</w:t>
            </w:r>
          </w:p>
        </w:tc>
        <w:tc>
          <w:tcPr>
            <w:tcW w:type="dxa" w:w="16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CLOSED</w:t>
            </w:r>
          </w:p>
        </w:tc>
        <w:tc>
          <w:tcPr>
            <w:tcW w:type="dxa" w:w="456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Interpretation only stored. Raw data remains customer property always.</w:t>
            </w:r>
          </w:p>
        </w:tc>
      </w:tr>
      <w:tr>
        <w:tc>
          <w:tcPr>
            <w:tcW w:type="dxa" w:w="32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COPPA Under-13</w:t>
            </w:r>
          </w:p>
        </w:tc>
        <w:tc>
          <w:tcPr>
            <w:tcW w:type="dxa" w:w="16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CLOSED</w:t>
            </w:r>
          </w:p>
        </w:tc>
        <w:tc>
          <w:tcPr>
            <w:tcW w:type="dxa" w:w="456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Signature architecture. Emailed court-admissible PDF. Forged signature = customer liability.</w:t>
            </w:r>
          </w:p>
        </w:tc>
      </w:tr>
      <w:tr>
        <w:tc>
          <w:tcPr>
            <w:tcW w:type="dxa" w:w="32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Card Freeze / FinTech</w:t>
            </w:r>
          </w:p>
        </w:tc>
        <w:tc>
          <w:tcPr>
            <w:tcW w:type="dxa" w:w="16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CLOSED</w:t>
            </w:r>
          </w:p>
        </w:tc>
        <w:tc>
          <w:tcPr>
            <w:tcW w:type="dxa" w:w="456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White label partner handles all. AA2 never touches, holds, or moves money.</w:t>
            </w:r>
          </w:p>
        </w:tc>
      </w:tr>
      <w:tr>
        <w:tc>
          <w:tcPr>
            <w:tcW w:type="dxa" w:w="32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SOS Safety Liability</w:t>
            </w:r>
          </w:p>
        </w:tc>
        <w:tc>
          <w:tcPr>
            <w:tcW w:type="dxa" w:w="16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CLOSED</w:t>
            </w:r>
          </w:p>
        </w:tc>
        <w:tc>
          <w:tcPr>
            <w:tcW w:type="dxa" w:w="456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Terms explicit: AA2 does not replace 911, medical advice, or parental safety measures.</w:t>
            </w:r>
          </w:p>
        </w:tc>
      </w:tr>
      <w:tr>
        <w:tc>
          <w:tcPr>
            <w:tcW w:type="dxa" w:w="32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Apple &amp; Google Competition</w:t>
            </w:r>
          </w:p>
        </w:tc>
        <w:tc>
          <w:tcPr>
            <w:tcW w:type="dxa" w:w="16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CLOSED</w:t>
            </w:r>
          </w:p>
        </w:tc>
        <w:tc>
          <w:tcPr>
            <w:tcW w:type="dxa" w:w="456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Membrane cannot be replicated by an operating system. Moat is onboarding data and membrane intelligence.</w:t>
            </w:r>
          </w:p>
        </w:tc>
      </w:tr>
      <w:tr>
        <w:tc>
          <w:tcPr>
            <w:tcW w:type="dxa" w:w="32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Hardware Compatibility</w:t>
            </w:r>
          </w:p>
        </w:tc>
        <w:tc>
          <w:tcPr>
            <w:tcW w:type="dxa" w:w="16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CLOSED</w:t>
            </w:r>
          </w:p>
        </w:tc>
        <w:tc>
          <w:tcPr>
            <w:tcW w:type="dxa" w:w="456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Terms: AA2 not responsible for mis-onboarding from malfunctioning hardware.</w:t>
            </w:r>
          </w:p>
        </w:tc>
      </w:tr>
      <w:tr>
        <w:tc>
          <w:tcPr>
            <w:tcW w:type="dxa" w:w="32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Family Dashboard Safety</w:t>
            </w:r>
          </w:p>
        </w:tc>
        <w:tc>
          <w:tcPr>
            <w:tcW w:type="dxa" w:w="16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CLOSED</w:t>
            </w:r>
          </w:p>
        </w:tc>
        <w:tc>
          <w:tcPr>
            <w:tcW w:type="dxa" w:w="456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Silent exit architecture. Any member removes themselves with no alert to others.</w:t>
            </w:r>
          </w:p>
        </w:tc>
      </w:tr>
      <w:tr>
        <w:tc>
          <w:tcPr>
            <w:tcW w:type="dxa" w:w="32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Data Accuracy Liability</w:t>
            </w:r>
          </w:p>
        </w:tc>
        <w:tc>
          <w:tcPr>
            <w:tcW w:type="dxa" w:w="16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CLOSED</w:t>
            </w:r>
          </w:p>
        </w:tc>
        <w:tc>
          <w:tcPr>
            <w:tcW w:type="dxa" w:w="456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Decision support tool. Not a medical device. Sources listed. Interpretations manually verifiable.</w:t>
            </w:r>
          </w:p>
        </w:tc>
      </w:tr>
      <w:tr>
        <w:tc>
          <w:tcPr>
            <w:tcW w:type="dxa" w:w="32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Supabase Dependency</w:t>
            </w:r>
          </w:p>
        </w:tc>
        <w:tc>
          <w:tcPr>
            <w:tcW w:type="dxa" w:w="16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CLOSED</w:t>
            </w:r>
          </w:p>
        </w:tc>
        <w:tc>
          <w:tcPr>
            <w:tcW w:type="dxa" w:w="456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Transitional. Migrates to proprietary server as revenue builds. Independence is the architecture.</w:t>
            </w:r>
          </w:p>
        </w:tc>
      </w:tr>
      <w:tr>
        <w:tc>
          <w:tcPr>
            <w:tcW w:type="dxa" w:w="32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Act Right Dollars Classification</w:t>
            </w:r>
          </w:p>
        </w:tc>
        <w:tc>
          <w:tcPr>
            <w:tcW w:type="dxa" w:w="16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CLOSED</w:t>
            </w:r>
          </w:p>
        </w:tc>
        <w:tc>
          <w:tcPr>
            <w:tcW w:type="dxa" w:w="456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Legal classification required before public launch. White label structure mitigates.</w:t>
            </w:r>
          </w:p>
        </w:tc>
      </w:tr>
      <w:tr>
        <w:tc>
          <w:tcPr>
            <w:tcW w:type="dxa" w:w="32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BIPA / Biometric State Laws</w:t>
            </w:r>
          </w:p>
        </w:tc>
        <w:tc>
          <w:tcPr>
            <w:tcW w:type="dxa" w:w="16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CLOSED</w:t>
            </w:r>
          </w:p>
        </w:tc>
        <w:tc>
          <w:tcPr>
            <w:tcW w:type="dxa" w:w="456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Personal sovereignty supersedes derivative data laws. Interpreter doctrine. Region-specific terms.</w:t>
            </w:r>
          </w:p>
        </w:tc>
      </w:tr>
      <w:tr>
        <w:tc>
          <w:tcPr>
            <w:tcW w:type="dxa" w:w="32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International Jurisdiction</w:t>
            </w:r>
          </w:p>
        </w:tc>
        <w:tc>
          <w:tcPr>
            <w:tcW w:type="dxa" w:w="16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CLOSED</w:t>
            </w:r>
          </w:p>
        </w:tc>
        <w:tc>
          <w:tcPr>
            <w:tcW w:type="dxa" w:w="456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Disclose where AA2 fits. Provide workaround where possible. Do not launch where no compliant path exists.</w:t>
            </w:r>
          </w:p>
        </w:tc>
      </w:tr>
      <w:tr>
        <w:tc>
          <w:tcPr>
            <w:tcW w:type="dxa" w:w="32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White Label Partner Exposure</w:t>
            </w:r>
          </w:p>
        </w:tc>
        <w:tc>
          <w:tcPr>
            <w:tcW w:type="dxa" w:w="16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CLOSED</w:t>
            </w:r>
          </w:p>
        </w:tc>
        <w:tc>
          <w:tcPr>
            <w:tcW w:type="dxa" w:w="456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Institution named in terms. Region specific. Disputes handled by and through issuing institution.</w:t>
            </w:r>
          </w:p>
        </w:tc>
      </w:tr>
      <w:tr>
        <w:tc>
          <w:tcPr>
            <w:tcW w:type="dxa" w:w="32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App Store Sovereignty</w:t>
            </w:r>
          </w:p>
        </w:tc>
        <w:tc>
          <w:tcPr>
            <w:tcW w:type="dxa" w:w="16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CLOSED</w:t>
            </w:r>
          </w:p>
        </w:tc>
        <w:tc>
          <w:tcPr>
            <w:tcW w:type="dxa" w:w="456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Compliant in store. Sovereign after handoff. Data belongs to member once out of Apple/Google chain.</w:t>
            </w:r>
          </w:p>
        </w:tc>
      </w:tr>
      <w:tr>
        <w:tc>
          <w:tcPr>
            <w:tcW w:type="dxa" w:w="32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AI Health Regulatory Creep</w:t>
            </w:r>
          </w:p>
        </w:tc>
        <w:tc>
          <w:tcPr>
            <w:tcW w:type="dxa" w:w="16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CLOSED</w:t>
            </w:r>
          </w:p>
        </w:tc>
        <w:tc>
          <w:tcPr>
            <w:tcW w:type="dxa" w:w="456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Sources listed. Interpretations disclosed. Every result manually verifiable. Future-proof language.</w:t>
            </w:r>
          </w:p>
        </w:tc>
      </w:tr>
      <w:tr>
        <w:tc>
          <w:tcPr>
            <w:tcW w:type="dxa" w:w="32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Border Crossing Mid-Session</w:t>
            </w:r>
          </w:p>
        </w:tc>
        <w:tc>
          <w:tcPr>
            <w:tcW w:type="dxa" w:w="16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CLOSED</w:t>
            </w:r>
          </w:p>
        </w:tc>
        <w:tc>
          <w:tcPr>
            <w:tcW w:type="dxa" w:w="456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Dual jurisdiction display. Real-time notification. Timestamped record. Both frameworks shown.</w:t>
            </w:r>
          </w:p>
        </w:tc>
      </w:tr>
      <w:tr>
        <w:tc>
          <w:tcPr>
            <w:tcW w:type="dxa" w:w="32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Governing Law &amp; Jurisdiction</w:t>
            </w:r>
          </w:p>
        </w:tc>
        <w:tc>
          <w:tcPr>
            <w:tcW w:type="dxa" w:w="16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CLOSED</w:t>
            </w:r>
          </w:p>
        </w:tc>
        <w:tc>
          <w:tcPr>
            <w:tcW w:type="dxa" w:w="456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Native language. Region specific. Never generic. Strategic governing law clause per jurisdiction.</w:t>
            </w:r>
          </w:p>
        </w:tc>
      </w:tr>
    </w:tbl>
    <w:p>
      <w:pPr>
        <w:pStyle w:val="Heading2"/>
        <w:spacing w:after="180" w:before="360"/>
      </w:pPr>
      <w:r>
        <w:rPr>
          <w:rFonts w:ascii="Arial" w:cs="Arial" w:eastAsia="Arial" w:hAnsi="Arial"/>
          <w:b/>
          <w:bCs/>
          <w:color w:val="FFFFFF"/>
          <w:sz w:val="30"/>
          <w:szCs w:val="30"/>
        </w:rPr>
        <w:t xml:space="preserve">VAULT / FINTECH DOCTRINE</w:t>
      </w:r>
    </w:p>
    <w:p>
      <w:pPr>
        <w:spacing w:after="120" w:before="120"/>
      </w:pPr>
      <w:r>
        <w:rPr>
          <w:rFonts w:ascii="Arial" w:cs="Arial" w:eastAsia="Arial" w:hAnsi="Arial"/>
          <w:color w:val="CCCCCC"/>
          <w:sz w:val="22"/>
          <w:szCs w:val="22"/>
        </w:rPr>
        <w:t xml:space="preserve">AA2 does not handle money. Does not hold money. Does not move money. White-labeled fintech partner handles card issuance, fund custody, transaction processing, and regulatory compliance. AA2 is the intelligence layer that tells the system what the member earned. The licensed partner makes it real. Full disclosure before card activation.</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"AA2 never touches your money. AA2 never holds your money. AA2 tells the system what you earned — a licensed partner makes it real."</w:t>
      </w:r>
    </w:p>
    <w:p>
      <w:pPr>
        <w:pStyle w:val="Heading2"/>
        <w:spacing w:after="180" w:before="360"/>
      </w:pPr>
      <w:r>
        <w:rPr>
          <w:rFonts w:ascii="Arial" w:cs="Arial" w:eastAsia="Arial" w:hAnsi="Arial"/>
          <w:b/>
          <w:bCs/>
          <w:color w:val="FFFFFF"/>
          <w:sz w:val="30"/>
          <w:szCs w:val="30"/>
        </w:rPr>
        <w:t xml:space="preserve">GOOGLE MAPS AS LEGAL NERVOUS SYSTEM</w:t>
      </w:r>
    </w:p>
    <w:p>
      <w:pPr>
        <w:spacing w:after="120" w:before="120"/>
      </w:pPr>
      <w:r>
        <w:rPr>
          <w:rFonts w:ascii="Arial" w:cs="Arial" w:eastAsia="Arial" w:hAnsi="Arial"/>
          <w:color w:val="CCCCCC"/>
          <w:sz w:val="22"/>
          <w:szCs w:val="22"/>
        </w:rPr>
        <w:t xml:space="preserve">Google Maps integration is AA2's living compliance engine. Customer location determines in real time which terms govern, which data laws apply, which databases are legally permitted to fire, which language the interface speaks, and which features are available or restricted. AA2 plays by Google's rules — and Google's rules were written for exactly what AA2 does.</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"AA2's legal system obeys the same law a human body does — natural law. You are where you are. The membrane knows where you are. The membrane serves what that location requires."</w:t>
      </w:r>
    </w:p>
    <w:p>
      <w:pPr>
        <w:pStyle w:val="Heading2"/>
        <w:spacing w:after="180" w:before="360"/>
      </w:pPr>
      <w:r>
        <w:rPr>
          <w:rFonts w:ascii="Arial" w:cs="Arial" w:eastAsia="Arial" w:hAnsi="Arial"/>
          <w:b/>
          <w:bCs/>
          <w:color w:val="FFFFFF"/>
          <w:sz w:val="30"/>
          <w:szCs w:val="30"/>
        </w:rPr>
        <w:t xml:space="preserve">CAPITAL DOCTRINE — LOCKED FOREVER</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"AA2 has no investors. AA2 will never have investors. AA2 is founder-sovereign. Revenue builds the backbone. The backbone replaces dependency. Independence is the architecture."</w:t>
      </w:r>
    </w:p>
    <w:p>
      <w:pPr>
        <w:pBdr>
          <w:bottom w:val="single" w:color="C9A84C" w:sz="8"/>
        </w:pBdr>
        <w:spacing w:after="280" w:before="280"/>
      </w:pPr>
      <w:r>
        <w:t xml:space="preserve"/>
      </w:r>
    </w:p>
    <w:p>
      <w:r>
        <w:br w:type="page"/>
      </w:r>
    </w:p>
    <w:p>
      <w:pPr>
        <w:pStyle w:val="Heading1"/>
        <w:spacing w:after="240" w:before="560"/>
      </w:pPr>
      <w:r>
        <w:rPr>
          <w:rFonts w:ascii="Arial" w:cs="Arial" w:eastAsia="Arial" w:hAnsi="Arial"/>
          <w:b/>
          <w:bCs/>
          <w:color w:val="C9A84C"/>
          <w:sz w:val="40"/>
          <w:szCs w:val="40"/>
        </w:rPr>
        <w:t xml:space="preserve">SECTION 8 — INSTITUTIONAL ADOPTION DOCTRINE</w:t>
      </w:r>
    </w:p>
    <w:p>
      <w:pPr>
        <w:spacing w:after="120" w:before="120"/>
      </w:pPr>
      <w:r>
        <w:rPr>
          <w:rFonts w:ascii="Arial" w:cs="Arial" w:eastAsia="Arial" w:hAnsi="Arial"/>
          <w:color w:val="CCCCCC"/>
          <w:sz w:val="22"/>
          <w:szCs w:val="22"/>
        </w:rPr>
        <w:t xml:space="preserve">Most government and law enforcement technology procurement decisions come down to one question: What is our liability exposure if this system fails, is misused, or is challenged? AA2 flips that entirely. The liability stays with the individual who chose it — because they signed, initialed, and received the PDF that proves they chose it.</w:t>
      </w:r>
    </w:p>
    <w:p>
      <w:pPr>
        <w:pStyle w:val="Heading2"/>
        <w:spacing w:after="180" w:before="360"/>
      </w:pPr>
      <w:r>
        <w:rPr>
          <w:rFonts w:ascii="Arial" w:cs="Arial" w:eastAsia="Arial" w:hAnsi="Arial"/>
          <w:b/>
          <w:bCs/>
          <w:color w:val="FFFFFF"/>
          <w:sz w:val="30"/>
          <w:szCs w:val="30"/>
        </w:rPr>
        <w:t xml:space="preserve">HOW AA2 REMOVES INSTITUTIONAL LIABILITY</w:t>
      </w:r>
    </w:p>
    <w:p>
      <w:pPr>
        <w:pStyle w:val="ListParagraph"/>
        <w:numPr>
          <w:ilvl w:val="0"/>
          <w:numId w:val="2"/>
        </w:numPr>
        <w:spacing w:after="80" w:before="80"/>
      </w:pPr>
      <w:r>
        <w:rPr>
          <w:rFonts w:ascii="Arial" w:cs="Arial" w:eastAsia="Arial" w:hAnsi="Arial"/>
          <w:b w:val="false"/>
          <w:bCs w:val="false"/>
          <w:color w:val="CCCCCC"/>
          <w:sz w:val="22"/>
          <w:szCs w:val="22"/>
        </w:rPr>
        <w:t xml:space="preserve">Every database listed and searchable during onboarding</w:t>
      </w:r>
    </w:p>
    <w:p>
      <w:pPr>
        <w:pStyle w:val="ListParagraph"/>
        <w:numPr>
          <w:ilvl w:val="0"/>
          <w:numId w:val="2"/>
        </w:numPr>
        <w:spacing w:after="80" w:before="80"/>
      </w:pPr>
      <w:r>
        <w:rPr>
          <w:rFonts w:ascii="Arial" w:cs="Arial" w:eastAsia="Arial" w:hAnsi="Arial"/>
          <w:b w:val="false"/>
          <w:bCs w:val="false"/>
          <w:color w:val="CCCCCC"/>
          <w:sz w:val="22"/>
          <w:szCs w:val="22"/>
        </w:rPr>
        <w:t xml:space="preserve">Every interpretation disclosed as exactly that — an interpretation</w:t>
      </w:r>
    </w:p>
    <w:p>
      <w:pPr>
        <w:pStyle w:val="ListParagraph"/>
        <w:numPr>
          <w:ilvl w:val="0"/>
          <w:numId w:val="2"/>
        </w:numPr>
        <w:spacing w:after="80" w:before="80"/>
      </w:pPr>
      <w:r>
        <w:rPr>
          <w:rFonts w:ascii="Arial" w:cs="Arial" w:eastAsia="Arial" w:hAnsi="Arial"/>
          <w:b w:val="false"/>
          <w:bCs w:val="false"/>
          <w:color w:val="CCCCCC"/>
          <w:sz w:val="22"/>
          <w:szCs w:val="22"/>
        </w:rPr>
        <w:t xml:space="preserve">Every data sharing decision made voluntarily by the individual user</w:t>
      </w:r>
    </w:p>
    <w:p>
      <w:pPr>
        <w:pStyle w:val="ListParagraph"/>
        <w:numPr>
          <w:ilvl w:val="0"/>
          <w:numId w:val="2"/>
        </w:numPr>
        <w:spacing w:after="80" w:before="80"/>
      </w:pPr>
      <w:r>
        <w:rPr>
          <w:rFonts w:ascii="Arial" w:cs="Arial" w:eastAsia="Arial" w:hAnsi="Arial"/>
          <w:b w:val="false"/>
          <w:bCs w:val="false"/>
          <w:color w:val="CCCCCC"/>
          <w:sz w:val="22"/>
          <w:szCs w:val="22"/>
        </w:rPr>
        <w:t xml:space="preserve">Every consent signed, initialed, emailed, and timestamped</w:t>
      </w:r>
    </w:p>
    <w:p>
      <w:pPr>
        <w:pStyle w:val="ListParagraph"/>
        <w:numPr>
          <w:ilvl w:val="0"/>
          <w:numId w:val="2"/>
        </w:numPr>
        <w:spacing w:after="80" w:before="80"/>
      </w:pPr>
      <w:r>
        <w:rPr>
          <w:rFonts w:ascii="Arial" w:cs="Arial" w:eastAsia="Arial" w:hAnsi="Arial"/>
          <w:b w:val="false"/>
          <w:bCs w:val="false"/>
          <w:color w:val="CCCCCC"/>
          <w:sz w:val="22"/>
          <w:szCs w:val="22"/>
        </w:rPr>
        <w:t xml:space="preserve">Every jurisdiction's laws addressed in region-specific terms</w:t>
      </w:r>
    </w:p>
    <w:p>
      <w:pPr>
        <w:pStyle w:val="ListParagraph"/>
        <w:numPr>
          <w:ilvl w:val="0"/>
          <w:numId w:val="2"/>
        </w:numPr>
        <w:spacing w:after="80" w:before="80"/>
      </w:pPr>
      <w:r>
        <w:rPr>
          <w:rFonts w:ascii="Arial" w:cs="Arial" w:eastAsia="Arial" w:hAnsi="Arial"/>
          <w:b w:val="false"/>
          <w:bCs w:val="false"/>
          <w:color w:val="CCCCCC"/>
          <w:sz w:val="22"/>
          <w:szCs w:val="22"/>
        </w:rPr>
        <w:t xml:space="preserve">System explicitly states it does not replace medical advice, emergency services, or professional judgment</w:t>
      </w:r>
    </w:p>
    <w:p>
      <w:pPr>
        <w:pStyle w:val="Heading2"/>
        <w:spacing w:after="180" w:before="360"/>
      </w:pPr>
      <w:r>
        <w:rPr>
          <w:rFonts w:ascii="Arial" w:cs="Arial" w:eastAsia="Arial" w:hAnsi="Arial"/>
          <w:b/>
          <w:bCs/>
          <w:color w:val="FFFFFF"/>
          <w:sz w:val="30"/>
          <w:szCs w:val="30"/>
        </w:rPr>
        <w:t xml:space="preserve">INSTITUTIONAL TARGETS</w:t>
      </w:r>
    </w:p>
    <w:p>
      <w:pPr>
        <w:pStyle w:val="ListParagraph"/>
        <w:numPr>
          <w:ilvl w:val="0"/>
          <w:numId w:val="2"/>
        </w:numPr>
        <w:spacing w:after="80" w:before="80"/>
      </w:pPr>
      <w:r>
        <w:rPr>
          <w:rFonts w:ascii="Arial" w:cs="Arial" w:eastAsia="Arial" w:hAnsi="Arial"/>
          <w:b w:val="false"/>
          <w:bCs w:val="false"/>
          <w:color w:val="CCCCCC"/>
          <w:sz w:val="22"/>
          <w:szCs w:val="22"/>
        </w:rPr>
        <w:t xml:space="preserve">CIVILIAN GOVERNMENT AGENCIES — FOIA requests, data breach liability dramatically reduced. Citizen owned the data. Citizen consented. Agency deployed a tool the citizen chose.</w:t>
      </w:r>
    </w:p>
    <w:p>
      <w:pPr>
        <w:pStyle w:val="ListParagraph"/>
        <w:numPr>
          <w:ilvl w:val="0"/>
          <w:numId w:val="2"/>
        </w:numPr>
        <w:spacing w:after="80" w:before="80"/>
      </w:pPr>
      <w:r>
        <w:rPr>
          <w:rFonts w:ascii="Arial" w:cs="Arial" w:eastAsia="Arial" w:hAnsi="Arial"/>
          <w:b w:val="false"/>
          <w:bCs w:val="false"/>
          <w:color w:val="CCCCCC"/>
          <w:sz w:val="22"/>
          <w:szCs w:val="22"/>
        </w:rPr>
        <w:t xml:space="preserve">LAW ENFORCEMENT PATROL AND TACTICAL — Officer chose the membrane. Department didn't surveil them. Voluntary consent is the legal distinction that changes everything.</w:t>
      </w:r>
    </w:p>
    <w:p>
      <w:pPr>
        <w:pStyle w:val="ListParagraph"/>
        <w:numPr>
          <w:ilvl w:val="0"/>
          <w:numId w:val="2"/>
        </w:numPr>
        <w:spacing w:after="80" w:before="80"/>
      </w:pPr>
      <w:r>
        <w:rPr>
          <w:rFonts w:ascii="Arial" w:cs="Arial" w:eastAsia="Arial" w:hAnsi="Arial"/>
          <w:b w:val="false"/>
          <w:bCs w:val="false"/>
          <w:color w:val="CCCCCC"/>
          <w:sz w:val="22"/>
          <w:szCs w:val="22"/>
        </w:rPr>
        <w:t xml:space="preserve">K9 TACTICAL UNITS — Handler and K9 biosignal dual-baseline correlation with a clean liability framework that has never existed before.</w:t>
      </w:r>
    </w:p>
    <w:p>
      <w:pPr>
        <w:pStyle w:val="ListParagraph"/>
        <w:numPr>
          <w:ilvl w:val="0"/>
          <w:numId w:val="2"/>
        </w:numPr>
        <w:spacing w:after="80" w:before="80"/>
      </w:pPr>
      <w:r>
        <w:rPr>
          <w:rFonts w:ascii="Arial" w:cs="Arial" w:eastAsia="Arial" w:hAnsi="Arial"/>
          <w:b w:val="false"/>
          <w:bCs w:val="false"/>
          <w:color w:val="CCCCCC"/>
          <w:sz w:val="22"/>
          <w:szCs w:val="22"/>
        </w:rPr>
        <w:t xml:space="preserve">MILITARY ADJACENT AND CONTRACTOR — Voluntary consent. Interpretation only. Signed records. Region-specific terms. The contractor owns their biology. AA2 interprets it.</w:t>
      </w:r>
    </w:p>
    <w:p>
      <w:pPr>
        <w:pStyle w:val="ListParagraph"/>
        <w:numPr>
          <w:ilvl w:val="0"/>
          <w:numId w:val="2"/>
        </w:numPr>
        <w:spacing w:after="80" w:before="80"/>
      </w:pPr>
      <w:r>
        <w:rPr>
          <w:rFonts w:ascii="Arial" w:cs="Arial" w:eastAsia="Arial" w:hAnsi="Arial"/>
          <w:b w:val="false"/>
          <w:bCs w:val="false"/>
          <w:color w:val="CCCCCC"/>
          <w:sz w:val="22"/>
          <w:szCs w:val="22"/>
        </w:rPr>
        <w:t xml:space="preserve">HIGH NET WORTH INDIVIDUALS — Quiet protection. Delegated intelligence. Long-term optimization. Invisible. Effortless. Accumulative.</w:t>
      </w:r>
    </w:p>
    <w:p>
      <w:pPr>
        <w:pStyle w:val="Heading2"/>
        <w:spacing w:after="180" w:before="360"/>
      </w:pPr>
      <w:r>
        <w:rPr>
          <w:rFonts w:ascii="Arial" w:cs="Arial" w:eastAsia="Arial" w:hAnsi="Arial"/>
          <w:b/>
          <w:bCs/>
          <w:color w:val="FFFFFF"/>
          <w:sz w:val="30"/>
          <w:szCs w:val="30"/>
        </w:rPr>
        <w:t xml:space="preserve">DATABASE TRANSPARENCY AS PROCUREMENT ADVANTAGE</w:t>
      </w:r>
    </w:p>
    <w:p>
      <w:pPr>
        <w:spacing w:after="120" w:before="120"/>
      </w:pPr>
      <w:r>
        <w:rPr>
          <w:rFonts w:ascii="Arial" w:cs="Arial" w:eastAsia="Arial" w:hAnsi="Arial"/>
          <w:color w:val="CCCCCC"/>
          <w:sz w:val="22"/>
          <w:szCs w:val="22"/>
        </w:rPr>
        <w:t xml:space="preserve">Most vendors fight to keep sources proprietary. AA2 publishes them. Every database listed, named, and searchable. This is not weakness. This is the reason institutional buyers trust it. When a government legal team can see every source, verify every database, and review exactly what the system claims and does not claim — there is nothing left to argue about.</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"AA2 doesn't sell to governments. AA2 removes the reason governments say no."</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"The sources are public. The membrane is proprietary. The data inside the membrane belongs to the member. None of that is on the list."</w:t>
      </w:r>
    </w:p>
    <w:p>
      <w:pPr>
        <w:pBdr>
          <w:bottom w:val="single" w:color="C9A84C" w:sz="8"/>
        </w:pBdr>
        <w:spacing w:after="280" w:before="280"/>
      </w:pPr>
      <w:r>
        <w:t xml:space="preserve"/>
      </w:r>
    </w:p>
    <w:p>
      <w:r>
        <w:br w:type="page"/>
      </w:r>
    </w:p>
    <w:p>
      <w:pPr>
        <w:pStyle w:val="Heading1"/>
        <w:spacing w:after="240" w:before="560"/>
      </w:pPr>
      <w:r>
        <w:rPr>
          <w:rFonts w:ascii="Arial" w:cs="Arial" w:eastAsia="Arial" w:hAnsi="Arial"/>
          <w:b/>
          <w:bCs/>
          <w:color w:val="C9A84C"/>
          <w:sz w:val="40"/>
          <w:szCs w:val="40"/>
        </w:rPr>
        <w:t xml:space="preserve">SECTION 9 — F1 / FERRARI / LEWIS HAMILTON DOCTRINE</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"F1 knows everything about the machine. AA2 knows everything about the human inside it. Combined — the race is won before lights out."</w:t>
      </w:r>
    </w:p>
    <w:p>
      <w:pPr>
        <w:pStyle w:val="Heading2"/>
        <w:spacing w:after="180" w:before="360"/>
      </w:pPr>
      <w:r>
        <w:rPr>
          <w:rFonts w:ascii="Arial" w:cs="Arial" w:eastAsia="Arial" w:hAnsi="Arial"/>
          <w:b/>
          <w:bCs/>
          <w:color w:val="FFFFFF"/>
          <w:sz w:val="30"/>
          <w:szCs w:val="30"/>
        </w:rPr>
        <w:t xml:space="preserve">THE GAP F1 HAS NEVER CLOSED</w:t>
      </w:r>
    </w:p>
    <w:p>
      <w:pPr>
        <w:spacing w:after="120" w:before="120"/>
      </w:pPr>
      <w:r>
        <w:rPr>
          <w:rFonts w:ascii="Arial" w:cs="Arial" w:eastAsia="Arial" w:hAnsi="Arial"/>
          <w:color w:val="CCCCCC"/>
          <w:sz w:val="22"/>
          <w:szCs w:val="22"/>
        </w:rPr>
        <w:t xml:space="preserve">Every F1 car has approximately 300 sensors firing over 1 million data points per second. They know everything about the machine. Tire temperature. Brake pressure. Fuel load. Aerodynamic downforce. Engine performance. G-force. They do not have what AA2 has — a membrane that knows the human inside the machine at the same depth.</w:t>
      </w:r>
    </w:p>
    <w:p>
      <w:pPr>
        <w:pStyle w:val="Heading2"/>
        <w:spacing w:after="180" w:before="360"/>
      </w:pPr>
      <w:r>
        <w:rPr>
          <w:rFonts w:ascii="Arial" w:cs="Arial" w:eastAsia="Arial" w:hAnsi="Arial"/>
          <w:b/>
          <w:bCs/>
          <w:color w:val="FFFFFF"/>
          <w:sz w:val="30"/>
          <w:szCs w:val="30"/>
        </w:rPr>
        <w:t xml:space="preserve">WHAT AA2 BRINGS TO THE PIT WALL</w:t>
      </w:r>
    </w:p>
    <w:p>
      <w:pPr>
        <w:pStyle w:val="ListParagraph"/>
        <w:numPr>
          <w:ilvl w:val="0"/>
          <w:numId w:val="2"/>
        </w:numPr>
        <w:spacing w:after="80" w:before="80"/>
      </w:pPr>
      <w:r>
        <w:rPr>
          <w:rFonts w:ascii="Arial" w:cs="Arial" w:eastAsia="Arial" w:hAnsi="Arial"/>
          <w:b w:val="false"/>
          <w:bCs w:val="false"/>
          <w:color w:val="CCCCCC"/>
          <w:sz w:val="22"/>
          <w:szCs w:val="22"/>
        </w:rPr>
        <w:t xml:space="preserve">90 day biosignal baseline specific to that driver</w:t>
      </w:r>
    </w:p>
    <w:p>
      <w:pPr>
        <w:pStyle w:val="ListParagraph"/>
        <w:numPr>
          <w:ilvl w:val="0"/>
          <w:numId w:val="2"/>
        </w:numPr>
        <w:spacing w:after="80" w:before="80"/>
      </w:pPr>
      <w:r>
        <w:rPr>
          <w:rFonts w:ascii="Arial" w:cs="Arial" w:eastAsia="Arial" w:hAnsi="Arial"/>
          <w:b w:val="false"/>
          <w:bCs w:val="false"/>
          <w:color w:val="CCCCCC"/>
          <w:sz w:val="22"/>
          <w:szCs w:val="22"/>
        </w:rPr>
        <w:t xml:space="preserve">HRV trends correlated against lap time performance windows</w:t>
      </w:r>
    </w:p>
    <w:p>
      <w:pPr>
        <w:pStyle w:val="ListParagraph"/>
        <w:numPr>
          <w:ilvl w:val="0"/>
          <w:numId w:val="2"/>
        </w:numPr>
        <w:spacing w:after="80" w:before="80"/>
      </w:pPr>
      <w:r>
        <w:rPr>
          <w:rFonts w:ascii="Arial" w:cs="Arial" w:eastAsia="Arial" w:hAnsi="Arial"/>
          <w:b w:val="false"/>
          <w:bCs w:val="false"/>
          <w:color w:val="CCCCCC"/>
          <w:sz w:val="22"/>
          <w:szCs w:val="22"/>
        </w:rPr>
        <w:t xml:space="preserve">Sleep quality the night before qualifying mapped against sector consistency</w:t>
      </w:r>
    </w:p>
    <w:p>
      <w:pPr>
        <w:pStyle w:val="ListParagraph"/>
        <w:numPr>
          <w:ilvl w:val="0"/>
          <w:numId w:val="2"/>
        </w:numPr>
        <w:spacing w:after="80" w:before="80"/>
      </w:pPr>
      <w:r>
        <w:rPr>
          <w:rFonts w:ascii="Arial" w:cs="Arial" w:eastAsia="Arial" w:hAnsi="Arial"/>
          <w:b w:val="false"/>
          <w:bCs w:val="false"/>
          <w:color w:val="CCCCCC"/>
          <w:sz w:val="22"/>
          <w:szCs w:val="22"/>
        </w:rPr>
        <w:t xml:space="preserve">Cortisol curve on race morning cross-referenced against reaction time in the first 5 laps</w:t>
      </w:r>
    </w:p>
    <w:p>
      <w:pPr>
        <w:pStyle w:val="ListParagraph"/>
        <w:numPr>
          <w:ilvl w:val="0"/>
          <w:numId w:val="2"/>
        </w:numPr>
        <w:spacing w:after="80" w:before="80"/>
      </w:pPr>
      <w:r>
        <w:rPr>
          <w:rFonts w:ascii="Arial" w:cs="Arial" w:eastAsia="Arial" w:hAnsi="Arial"/>
          <w:b w:val="false"/>
          <w:bCs w:val="false"/>
          <w:color w:val="CCCCCC"/>
          <w:sz w:val="22"/>
          <w:szCs w:val="22"/>
        </w:rPr>
        <w:t xml:space="preserve">Nutritional intake for 72 hours before the race mapped against physical output during the race</w:t>
      </w:r>
    </w:p>
    <w:p>
      <w:pPr>
        <w:pStyle w:val="ListParagraph"/>
        <w:numPr>
          <w:ilvl w:val="0"/>
          <w:numId w:val="2"/>
        </w:numPr>
        <w:spacing w:after="80" w:before="80"/>
      </w:pPr>
      <w:r>
        <w:rPr>
          <w:rFonts w:ascii="Arial" w:cs="Arial" w:eastAsia="Arial" w:hAnsi="Arial"/>
          <w:b w:val="false"/>
          <w:bCs w:val="false"/>
          <w:color w:val="CCCCCC"/>
          <w:sz w:val="22"/>
          <w:szCs w:val="22"/>
        </w:rPr>
        <w:t xml:space="preserve">Driver stress transfer patterns under specific circuit conditions and ambient temperatures</w:t>
      </w:r>
    </w:p>
    <w:p>
      <w:pPr>
        <w:pStyle w:val="ListParagraph"/>
        <w:numPr>
          <w:ilvl w:val="0"/>
          <w:numId w:val="2"/>
        </w:numPr>
        <w:spacing w:after="80" w:before="80"/>
      </w:pPr>
      <w:r>
        <w:rPr>
          <w:rFonts w:ascii="Arial" w:cs="Arial" w:eastAsia="Arial" w:hAnsi="Arial"/>
          <w:b w:val="false"/>
          <w:bCs w:val="false"/>
          <w:color w:val="CCCCCC"/>
          <w:sz w:val="22"/>
          <w:szCs w:val="22"/>
        </w:rPr>
        <w:t xml:space="preserve">Cognitive load indicators during safety car periods versus full race pace</w:t>
      </w:r>
    </w:p>
    <w:p>
      <w:pPr>
        <w:pStyle w:val="ListParagraph"/>
        <w:numPr>
          <w:ilvl w:val="0"/>
          <w:numId w:val="2"/>
        </w:numPr>
        <w:spacing w:after="80" w:before="80"/>
      </w:pPr>
      <w:r>
        <w:rPr>
          <w:rFonts w:ascii="Arial" w:cs="Arial" w:eastAsia="Arial" w:hAnsi="Arial"/>
          <w:b w:val="false"/>
          <w:bCs w:val="false"/>
          <w:color w:val="CCCCCC"/>
          <w:sz w:val="22"/>
          <w:szCs w:val="22"/>
        </w:rPr>
        <w:t xml:space="preserve">Recovery curve after each grand prix mapped against the following race weekend readiness</w:t>
      </w:r>
    </w:p>
    <w:p>
      <w:pPr>
        <w:pStyle w:val="ListParagraph"/>
        <w:numPr>
          <w:ilvl w:val="0"/>
          <w:numId w:val="2"/>
        </w:numPr>
        <w:spacing w:after="80" w:before="80"/>
      </w:pPr>
      <w:r>
        <w:rPr>
          <w:rFonts w:ascii="Arial" w:cs="Arial" w:eastAsia="Arial" w:hAnsi="Arial"/>
          <w:b w:val="false"/>
          <w:bCs w:val="false"/>
          <w:color w:val="CCCCCC"/>
          <w:sz w:val="22"/>
          <w:szCs w:val="22"/>
        </w:rPr>
        <w:t xml:space="preserve">PREDICTIVE OUTPUT — In 8 laps this driver will begin to show cognitive fatigue based on his historical pattern at this circuit in these conditions. Box now or manage pace.</w:t>
      </w:r>
    </w:p>
    <w:p>
      <w:pPr>
        <w:pStyle w:val="Heading2"/>
        <w:spacing w:after="180" w:before="360"/>
      </w:pPr>
      <w:r>
        <w:rPr>
          <w:rFonts w:ascii="Arial" w:cs="Arial" w:eastAsia="Arial" w:hAnsi="Arial"/>
          <w:b/>
          <w:bCs/>
          <w:color w:val="FFFFFF"/>
          <w:sz w:val="30"/>
          <w:szCs w:val="30"/>
        </w:rPr>
        <w:t xml:space="preserve">THE LEWIS HAMILTON SPECIFIC INSIGHT</w:t>
      </w:r>
    </w:p>
    <w:p>
      <w:pPr>
        <w:spacing w:after="120" w:before="120"/>
      </w:pPr>
      <w:r>
        <w:rPr>
          <w:rFonts w:ascii="Arial" w:cs="Arial" w:eastAsia="Arial" w:hAnsi="Arial"/>
          <w:color w:val="CCCCCC"/>
          <w:sz w:val="22"/>
          <w:szCs w:val="22"/>
        </w:rPr>
        <w:t xml:space="preserve">Lewis Hamilton is the most data-conscious driver in F1 history. Plant-based diet change. Sleep obsession. Documented performance impact tracking. He moved to Ferrari at 40. Every analyst said the body cannot sustain it at that age. He knows something they do not. What he knows is exactly what AA2 is built to prove — biology managed with precision and intention does not obey the standard decay curve. He is already living inside the AA2 philosophy without the membrane to unify it.</w:t>
      </w:r>
    </w:p>
    <w:p>
      <w:pPr>
        <w:pStyle w:val="Heading2"/>
        <w:spacing w:after="180" w:before="360"/>
      </w:pPr>
      <w:r>
        <w:rPr>
          <w:rFonts w:ascii="Arial" w:cs="Arial" w:eastAsia="Arial" w:hAnsi="Arial"/>
          <w:b/>
          <w:bCs/>
          <w:color w:val="FFFFFF"/>
          <w:sz w:val="30"/>
          <w:szCs w:val="30"/>
        </w:rPr>
        <w:t xml:space="preserve">THE LICENSING ARCHITECTURE</w:t>
      </w:r>
    </w:p>
    <w:p>
      <w:pPr>
        <w:spacing w:after="120" w:before="120"/>
      </w:pPr>
      <w:r>
        <w:rPr>
          <w:rFonts w:ascii="Arial" w:cs="Arial" w:eastAsia="Arial" w:hAnsi="Arial"/>
          <w:color w:val="CCCCCC"/>
          <w:sz w:val="22"/>
          <w:szCs w:val="22"/>
        </w:rPr>
        <w:t xml:space="preserve">AA2 licenses the biosignal membrane technology exclusively to Ferrari for use in driver performance optimization, pit wall predictive biological intelligence, driver development academy monitoring, and Ferrari road car health integration. In exchange: licensing fee upfront, residuals in perpetuity on every application, AA2 brand association globally, co-development rights on integrated hardware.</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"AA2 does not sell its membrane. AA2 licenses the right to live inside it. The membrane always comes home."</w:t>
      </w:r>
    </w:p>
    <w:p>
      <w:pPr>
        <w:pStyle w:val="Heading2"/>
        <w:spacing w:after="180" w:before="360"/>
      </w:pPr>
      <w:r>
        <w:rPr>
          <w:rFonts w:ascii="Arial" w:cs="Arial" w:eastAsia="Arial" w:hAnsi="Arial"/>
          <w:b/>
          <w:bCs/>
          <w:color w:val="FFFFFF"/>
          <w:sz w:val="30"/>
          <w:szCs w:val="30"/>
        </w:rPr>
        <w:t xml:space="preserve">THE NETFLIX LAYER — DRIVE TO SURVIVE</w:t>
      </w:r>
    </w:p>
    <w:p>
      <w:pPr>
        <w:spacing w:after="120" w:before="120"/>
      </w:pPr>
      <w:r>
        <w:rPr>
          <w:rFonts w:ascii="Arial" w:cs="Arial" w:eastAsia="Arial" w:hAnsi="Arial"/>
          <w:color w:val="CCCCCC"/>
          <w:sz w:val="22"/>
          <w:szCs w:val="22"/>
        </w:rPr>
        <w:t xml:space="preserve">180 million households. When AA2's membrane is part of the Ferrari story and Drive to Survive cameras film Lewis Hamilton reviewing his biosignal predictability data before qualifying — and the pit wall makes a strategy call based on AA2's biological intelligence — and Ferrari wins — that episode converts. Every viewer downloads AA2 the next morning. Not because of an ad. Because they watched it win.</w:t>
      </w:r>
    </w:p>
    <w:p>
      <w:pPr>
        <w:pStyle w:val="Heading2"/>
        <w:spacing w:after="180" w:before="360"/>
      </w:pPr>
      <w:r>
        <w:rPr>
          <w:rFonts w:ascii="Arial" w:cs="Arial" w:eastAsia="Arial" w:hAnsi="Arial"/>
          <w:b/>
          <w:bCs/>
          <w:color w:val="FFFFFF"/>
          <w:sz w:val="30"/>
          <w:szCs w:val="30"/>
        </w:rPr>
        <w:t xml:space="preserve">THE SCALE VISION</w:t>
      </w:r>
    </w:p>
    <w:p>
      <w:pPr>
        <w:spacing w:after="120" w:before="120"/>
      </w:pPr>
      <w:r>
        <w:rPr>
          <w:rFonts w:ascii="Arial" w:cs="Arial" w:eastAsia="Arial" w:hAnsi="Arial"/>
          <w:color w:val="CCCCCC"/>
          <w:sz w:val="22"/>
          <w:szCs w:val="22"/>
        </w:rPr>
        <w:t xml:space="preserve">When one sport validates the membrane the adoption accelerates across every performance domain. Every athlete on earth wants the membrane. Every military unit on earth wants the membrane. Every parent, handler, operator, and physician just watched AA2 influence a Formula 1 World Championship. The F1 livery was designed before the contract was signed. Because the founder already knew where it was going.</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"The Pyramid doesn't announce itself. It just stands. Until the world finally looks up and asks — how did that get there?"</w:t>
      </w:r>
    </w:p>
    <w:p>
      <w:pPr>
        <w:pBdr>
          <w:bottom w:val="single" w:color="C9A84C" w:sz="8"/>
        </w:pBdr>
        <w:spacing w:after="280" w:before="280"/>
      </w:pPr>
      <w:r>
        <w:t xml:space="preserve"/>
      </w:r>
    </w:p>
    <w:p>
      <w:r>
        <w:br w:type="page"/>
      </w:r>
    </w:p>
    <w:p>
      <w:pPr>
        <w:pStyle w:val="Heading1"/>
        <w:spacing w:after="240" w:before="560"/>
      </w:pPr>
      <w:r>
        <w:rPr>
          <w:rFonts w:ascii="Arial" w:cs="Arial" w:eastAsia="Arial" w:hAnsi="Arial"/>
          <w:b/>
          <w:bCs/>
          <w:color w:val="C9A84C"/>
          <w:sz w:val="40"/>
          <w:szCs w:val="40"/>
        </w:rPr>
        <w:t xml:space="preserve">SECTION 10 — ONBOARDING AS DOCUMENTARY DOCTRINE</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"Onboarding is not a form. It is a documentary. It shows you your life — before AA2 and after. By the time it asks for your signature you already know exactly why you are signing."</w:t>
      </w:r>
    </w:p>
    <w:p>
      <w:pPr>
        <w:pStyle w:val="Heading2"/>
        <w:spacing w:after="180" w:before="360"/>
      </w:pPr>
      <w:r>
        <w:rPr>
          <w:rFonts w:ascii="Arial" w:cs="Arial" w:eastAsia="Arial" w:hAnsi="Arial"/>
          <w:b/>
          <w:bCs/>
          <w:color w:val="FFFFFF"/>
          <w:sz w:val="30"/>
          <w:szCs w:val="30"/>
        </w:rPr>
        <w:t xml:space="preserve">WHY NOBODY ABANDONS THIS ONBOARDING</w:t>
      </w:r>
    </w:p>
    <w:p>
      <w:pPr>
        <w:pStyle w:val="ListParagraph"/>
        <w:numPr>
          <w:ilvl w:val="0"/>
          <w:numId w:val="2"/>
        </w:numPr>
        <w:spacing w:after="80" w:before="80"/>
      </w:pPr>
      <w:r>
        <w:rPr>
          <w:rFonts w:ascii="Arial" w:cs="Arial" w:eastAsia="Arial" w:hAnsi="Arial"/>
          <w:b w:val="false"/>
          <w:bCs w:val="false"/>
          <w:color w:val="CCCCCC"/>
          <w:sz w:val="22"/>
          <w:szCs w:val="22"/>
        </w:rPr>
        <w:t xml:space="preserve">Nobody abandons a documentary they are watching about their own life</w:t>
      </w:r>
    </w:p>
    <w:p>
      <w:pPr>
        <w:pStyle w:val="ListParagraph"/>
        <w:numPr>
          <w:ilvl w:val="0"/>
          <w:numId w:val="2"/>
        </w:numPr>
        <w:spacing w:after="80" w:before="80"/>
      </w:pPr>
      <w:r>
        <w:rPr>
          <w:rFonts w:ascii="Arial" w:cs="Arial" w:eastAsia="Arial" w:hAnsi="Arial"/>
          <w:b w:val="false"/>
          <w:bCs w:val="false"/>
          <w:color w:val="CCCCCC"/>
          <w:sz w:val="22"/>
          <w:szCs w:val="22"/>
        </w:rPr>
        <w:t xml:space="preserve">Every story teaches the membrane without explaining the membrane</w:t>
      </w:r>
    </w:p>
    <w:p>
      <w:pPr>
        <w:pStyle w:val="ListParagraph"/>
        <w:numPr>
          <w:ilvl w:val="0"/>
          <w:numId w:val="2"/>
        </w:numPr>
        <w:spacing w:after="80" w:before="80"/>
      </w:pPr>
      <w:r>
        <w:rPr>
          <w:rFonts w:ascii="Arial" w:cs="Arial" w:eastAsia="Arial" w:hAnsi="Arial"/>
          <w:b w:val="false"/>
          <w:bCs w:val="false"/>
          <w:color w:val="CCCCCC"/>
          <w:sz w:val="22"/>
          <w:szCs w:val="22"/>
        </w:rPr>
        <w:t xml:space="preserve">Bounce rate drops because confused people do not buy — educated people do</w:t>
      </w:r>
    </w:p>
    <w:p>
      <w:pPr>
        <w:pStyle w:val="ListParagraph"/>
        <w:numPr>
          <w:ilvl w:val="0"/>
          <w:numId w:val="2"/>
        </w:numPr>
        <w:spacing w:after="80" w:before="80"/>
      </w:pPr>
      <w:r>
        <w:rPr>
          <w:rFonts w:ascii="Arial" w:cs="Arial" w:eastAsia="Arial" w:hAnsi="Arial"/>
          <w:b w:val="false"/>
          <w:bCs w:val="false"/>
          <w:color w:val="CCCCCC"/>
          <w:sz w:val="22"/>
          <w:szCs w:val="22"/>
        </w:rPr>
        <w:t xml:space="preserve">By the time AA2 asks for the allergy profile the member already watched what happens when it is loaded — the Timmy scenario</w:t>
      </w:r>
    </w:p>
    <w:p>
      <w:pPr>
        <w:pStyle w:val="ListParagraph"/>
        <w:numPr>
          <w:ilvl w:val="0"/>
          <w:numId w:val="2"/>
        </w:numPr>
        <w:spacing w:after="80" w:before="80"/>
      </w:pPr>
      <w:r>
        <w:rPr>
          <w:rFonts w:ascii="Arial" w:cs="Arial" w:eastAsia="Arial" w:hAnsi="Arial"/>
          <w:b w:val="false"/>
          <w:bCs w:val="false"/>
          <w:color w:val="CCCCCC"/>
          <w:sz w:val="22"/>
          <w:szCs w:val="22"/>
        </w:rPr>
        <w:t xml:space="preserve">They are not granting permission to an app. They are activating their membrane.</w:t>
      </w:r>
    </w:p>
    <w:p>
      <w:pPr>
        <w:pStyle w:val="Heading2"/>
        <w:spacing w:after="180" w:before="360"/>
      </w:pPr>
      <w:r>
        <w:rPr>
          <w:rFonts w:ascii="Arial" w:cs="Arial" w:eastAsia="Arial" w:hAnsi="Arial"/>
          <w:b/>
          <w:bCs/>
          <w:color w:val="FFFFFF"/>
          <w:sz w:val="30"/>
          <w:szCs w:val="30"/>
        </w:rPr>
        <w:t xml:space="preserve">THE STORIES ARE THE PRODUCT</w:t>
      </w:r>
    </w:p>
    <w:p>
      <w:pPr>
        <w:spacing w:after="120" w:before="120"/>
      </w:pPr>
      <w:r>
        <w:rPr>
          <w:rFonts w:ascii="Arial" w:cs="Arial" w:eastAsia="Arial" w:hAnsi="Arial"/>
          <w:color w:val="CCCCCC"/>
          <w:sz w:val="22"/>
          <w:szCs w:val="22"/>
        </w:rPr>
        <w:t xml:space="preserve">Every onboarding story is simultaneously a sales presentation for a completely different market segment. The K9 tactical story closes a law enforcement procurement meeting. The grandmother bio wave story moves a hospital system partnership conversation. The single mom Costa Rica story converts a white label travel partner. All of them true. All of them real. All of them already lived by someone somewhere.</w:t>
      </w:r>
    </w:p>
    <w:p>
      <w:pPr>
        <w:pStyle w:val="Heading2"/>
        <w:spacing w:after="180" w:before="360"/>
      </w:pPr>
      <w:r>
        <w:rPr>
          <w:rFonts w:ascii="Arial" w:cs="Arial" w:eastAsia="Arial" w:hAnsi="Arial"/>
          <w:b/>
          <w:bCs/>
          <w:color w:val="FFFFFF"/>
          <w:sz w:val="30"/>
          <w:szCs w:val="30"/>
        </w:rPr>
        <w:t xml:space="preserve">THE TRAVEL STORY — CANONICAL PROOF</w:t>
      </w:r>
    </w:p>
    <w:p>
      <w:pPr>
        <w:spacing w:after="120" w:before="120"/>
      </w:pPr>
      <w:r>
        <w:rPr>
          <w:rFonts w:ascii="Arial" w:cs="Arial" w:eastAsia="Arial" w:hAnsi="Arial"/>
          <w:color w:val="CCCCCC"/>
          <w:sz w:val="22"/>
          <w:szCs w:val="22"/>
        </w:rPr>
        <w:t xml:space="preserve">A parent traveling internationally with their child. The scanner catches peanut oil in a Costa Rican ingredient list. The Vault funded the trip through 90 days of Act Right Dollars. The Chauffeur rerouted the Uber around a downtown march. The Chef built a friendship with a local family through live cooking. CANAAN taught the language that made them feel at home. Bio Buddy and The Equalizer watched silently the entire time. Every spoke fired. Nobody noticed AA2. They only noticed the life.</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"AA2 does not tell you to live better. It makes living better the path of least resistance."</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"Every scan is a vote for her dream. Every better decision is a deposit."</w:t>
      </w:r>
    </w:p>
    <w:p>
      <w:pPr>
        <w:pBdr>
          <w:bottom w:val="single" w:color="C9A84C" w:sz="8"/>
        </w:pBdr>
        <w:spacing w:after="280" w:before="280"/>
      </w:pPr>
      <w:r>
        <w:t xml:space="preserve"/>
      </w:r>
    </w:p>
    <w:p>
      <w:r>
        <w:br w:type="page"/>
      </w:r>
    </w:p>
    <w:p>
      <w:pPr>
        <w:pStyle w:val="Heading1"/>
        <w:spacing w:after="240" w:before="560"/>
      </w:pPr>
      <w:r>
        <w:rPr>
          <w:rFonts w:ascii="Arial" w:cs="Arial" w:eastAsia="Arial" w:hAnsi="Arial"/>
          <w:b/>
          <w:bCs/>
          <w:color w:val="C9A84C"/>
          <w:sz w:val="40"/>
          <w:szCs w:val="40"/>
        </w:rPr>
        <w:t xml:space="preserve">SECTION 11 — BUILD STATUS &amp; CORRECT SEQUENCE</w:t>
      </w:r>
    </w:p>
    <w:p>
      <w:pPr>
        <w:pStyle w:val="Heading2"/>
        <w:spacing w:after="180" w:before="360"/>
      </w:pPr>
      <w:r>
        <w:rPr>
          <w:rFonts w:ascii="Arial" w:cs="Arial" w:eastAsia="Arial" w:hAnsi="Arial"/>
          <w:b/>
          <w:bCs/>
          <w:color w:val="FFFFFF"/>
          <w:sz w:val="30"/>
          <w:szCs w:val="30"/>
        </w:rPr>
        <w:t xml:space="preserve">CURRENT STATUS — MARCH 11,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9A84C" w:sz="1"/>
              <w:left w:val="single" w:color="C9A84C" w:sz="1"/>
              <w:bottom w:val="single" w:color="C9A84C" w:sz="1"/>
              <w:right w:val="single" w:color="C9A84C" w:sz="1"/>
            </w:tcBorders>
            <w:shd w:fill="1E1E1E" w:val="clear"/>
            <w:tcMar>
              <w:top w:type="dxa" w:w="100"/>
              <w:left w:type="dxa" w:w="140"/>
              <w:bottom w:type="dxa" w:w="100"/>
              <w:right w:type="dxa" w:w="140"/>
            </w:tcMar>
          </w:tcPr>
          <w:p>
            <w:r>
              <w:rPr>
                <w:rFonts w:ascii="Arial" w:cs="Arial" w:eastAsia="Arial" w:hAnsi="Arial"/>
                <w:b/>
                <w:bCs/>
                <w:color w:val="C9A84C"/>
                <w:sz w:val="20"/>
                <w:szCs w:val="20"/>
              </w:rPr>
              <w:t xml:space="preserve">COMPONENT</w:t>
            </w:r>
          </w:p>
        </w:tc>
        <w:tc>
          <w:tcPr>
            <w:tcW w:type="dxa" w:w="1600"/>
            <w:tcBorders>
              <w:top w:val="single" w:color="C9A84C" w:sz="1"/>
              <w:left w:val="single" w:color="C9A84C" w:sz="1"/>
              <w:bottom w:val="single" w:color="C9A84C" w:sz="1"/>
              <w:right w:val="single" w:color="C9A84C" w:sz="1"/>
            </w:tcBorders>
            <w:shd w:fill="1E1E1E" w:val="clear"/>
            <w:tcMar>
              <w:top w:type="dxa" w:w="100"/>
              <w:left w:type="dxa" w:w="140"/>
              <w:bottom w:type="dxa" w:w="100"/>
              <w:right w:type="dxa" w:w="140"/>
            </w:tcMar>
          </w:tcPr>
          <w:p>
            <w:r>
              <w:rPr>
                <w:rFonts w:ascii="Arial" w:cs="Arial" w:eastAsia="Arial" w:hAnsi="Arial"/>
                <w:b/>
                <w:bCs/>
                <w:color w:val="C9A84C"/>
                <w:sz w:val="20"/>
                <w:szCs w:val="20"/>
              </w:rPr>
              <w:t xml:space="preserve">STATUS</w:t>
            </w:r>
          </w:p>
        </w:tc>
        <w:tc>
          <w:tcPr>
            <w:tcW w:type="dxa" w:w="4560"/>
            <w:tcBorders>
              <w:top w:val="single" w:color="C9A84C" w:sz="1"/>
              <w:left w:val="single" w:color="C9A84C" w:sz="1"/>
              <w:bottom w:val="single" w:color="C9A84C" w:sz="1"/>
              <w:right w:val="single" w:color="C9A84C" w:sz="1"/>
            </w:tcBorders>
            <w:shd w:fill="1E1E1E" w:val="clear"/>
            <w:tcMar>
              <w:top w:type="dxa" w:w="100"/>
              <w:left w:type="dxa" w:w="140"/>
              <w:bottom w:type="dxa" w:w="100"/>
              <w:right w:type="dxa" w:w="140"/>
            </w:tcMar>
          </w:tcPr>
          <w:p>
            <w:r>
              <w:rPr>
                <w:rFonts w:ascii="Arial" w:cs="Arial" w:eastAsia="Arial" w:hAnsi="Arial"/>
                <w:b/>
                <w:bCs/>
                <w:color w:val="C9A84C"/>
                <w:sz w:val="20"/>
                <w:szCs w:val="20"/>
              </w:rPr>
              <w:t xml:space="preserve">NOTES</w:t>
            </w:r>
          </w:p>
        </w:tc>
      </w:tr>
      <w:tr>
        <w:tc>
          <w:tcPr>
            <w:tcW w:type="dxa" w:w="32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Scanner (index.tsx)</w:t>
            </w:r>
          </w:p>
        </w:tc>
        <w:tc>
          <w:tcPr>
            <w:tcW w:type="dxa" w:w="16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COMPLETE</w:t>
            </w:r>
          </w:p>
        </w:tc>
        <w:tc>
          <w:tcPr>
            <w:tcW w:type="dxa" w:w="456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All 6 tabs. Open Food Facts live. Zero errors.</w:t>
            </w:r>
          </w:p>
        </w:tc>
      </w:tr>
      <w:tr>
        <w:tc>
          <w:tcPr>
            <w:tcW w:type="dxa" w:w="32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Chauffeur (map.tsx)</w:t>
            </w:r>
          </w:p>
        </w:tc>
        <w:tc>
          <w:tcPr>
            <w:tcW w:type="dxa" w:w="16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COMPLETE</w:t>
            </w:r>
          </w:p>
        </w:tc>
        <w:tc>
          <w:tcPr>
            <w:tcW w:type="dxa" w:w="456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Retail Intelligence Loop + Safety Travel Engine.</w:t>
            </w:r>
          </w:p>
        </w:tc>
      </w:tr>
      <w:tr>
        <w:tc>
          <w:tcPr>
            <w:tcW w:type="dxa" w:w="32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Icon Fix</w:t>
            </w:r>
          </w:p>
        </w:tc>
        <w:tc>
          <w:tcPr>
            <w:tcW w:type="dxa" w:w="16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COMPLETE</w:t>
            </w:r>
          </w:p>
        </w:tc>
        <w:tc>
          <w:tcPr>
            <w:tcW w:type="dxa" w:w="456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Personal Care tab. Renders all Android devices.</w:t>
            </w:r>
          </w:p>
        </w:tc>
      </w:tr>
      <w:tr>
        <w:tc>
          <w:tcPr>
            <w:tcW w:type="dxa" w:w="32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Intelligence Glow System</w:t>
            </w:r>
          </w:p>
        </w:tc>
        <w:tc>
          <w:tcPr>
            <w:tcW w:type="dxa" w:w="16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PENDING</w:t>
            </w:r>
          </w:p>
        </w:tc>
        <w:tc>
          <w:tcPr>
            <w:tcW w:type="dxa" w:w="456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Red/green/blue/earth glow. No names. No DB names.</w:t>
            </w:r>
          </w:p>
        </w:tc>
      </w:tr>
      <w:tr>
        <w:tc>
          <w:tcPr>
            <w:tcW w:type="dxa" w:w="32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Language Auto-Detection</w:t>
            </w:r>
          </w:p>
        </w:tc>
        <w:tc>
          <w:tcPr>
            <w:tcW w:type="dxa" w:w="16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PENDING</w:t>
            </w:r>
          </w:p>
        </w:tc>
        <w:tc>
          <w:tcPr>
            <w:tcW w:type="dxa" w:w="456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All tabs auto-detect and translate. No user input.</w:t>
            </w:r>
          </w:p>
        </w:tc>
      </w:tr>
      <w:tr>
        <w:tc>
          <w:tcPr>
            <w:tcW w:type="dxa" w:w="32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Supabase Schema</w:t>
            </w:r>
          </w:p>
        </w:tc>
        <w:tc>
          <w:tcPr>
            <w:tcW w:type="dxa" w:w="16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BUILD NEXT</w:t>
            </w:r>
          </w:p>
        </w:tc>
        <w:tc>
          <w:tcPr>
            <w:tcW w:type="dxa" w:w="456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Hippocampus architecture. Tables before wiring.</w:t>
            </w:r>
          </w:p>
        </w:tc>
      </w:tr>
      <w:tr>
        <w:tc>
          <w:tcPr>
            <w:tcW w:type="dxa" w:w="32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Onboarding Membrane</w:t>
            </w:r>
          </w:p>
        </w:tc>
        <w:tc>
          <w:tcPr>
            <w:tcW w:type="dxa" w:w="16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PENDING</w:t>
            </w:r>
          </w:p>
        </w:tc>
        <w:tc>
          <w:tcPr>
            <w:tcW w:type="dxa" w:w="456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Javier, 20 questions, biomarker anchors, allergy, ICE.</w:t>
            </w:r>
          </w:p>
        </w:tc>
      </w:tr>
      <w:tr>
        <w:tc>
          <w:tcPr>
            <w:tcW w:type="dxa" w:w="32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Scanner to Supabase Wire</w:t>
            </w:r>
          </w:p>
        </w:tc>
        <w:tc>
          <w:tcPr>
            <w:tcW w:type="dxa" w:w="16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PENDING</w:t>
            </w:r>
          </w:p>
        </w:tc>
        <w:tc>
          <w:tcPr>
            <w:tcW w:type="dxa" w:w="456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After schema and onboarding only.</w:t>
            </w:r>
          </w:p>
        </w:tc>
      </w:tr>
      <w:tr>
        <w:tc>
          <w:tcPr>
            <w:tcW w:type="dxa" w:w="32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Bio Buddy</w:t>
            </w:r>
          </w:p>
        </w:tc>
        <w:tc>
          <w:tcPr>
            <w:tcW w:type="dxa" w:w="16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PENDING</w:t>
            </w:r>
          </w:p>
        </w:tc>
        <w:tc>
          <w:tcPr>
            <w:tcW w:type="dxa" w:w="456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HRV dashboard, Garmin sync, canine dual-baseline.</w:t>
            </w:r>
          </w:p>
        </w:tc>
      </w:tr>
      <w:tr>
        <w:tc>
          <w:tcPr>
            <w:tcW w:type="dxa" w:w="32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The Vault</w:t>
            </w:r>
          </w:p>
        </w:tc>
        <w:tc>
          <w:tcPr>
            <w:tcW w:type="dxa" w:w="16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PENDING</w:t>
            </w:r>
          </w:p>
        </w:tc>
        <w:tc>
          <w:tcPr>
            <w:tcW w:type="dxa" w:w="456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Act Right Dollars, white label card, card freeze.</w:t>
            </w:r>
          </w:p>
        </w:tc>
      </w:tr>
      <w:tr>
        <w:tc>
          <w:tcPr>
            <w:tcW w:type="dxa" w:w="32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Family Dashboard</w:t>
            </w:r>
          </w:p>
        </w:tc>
        <w:tc>
          <w:tcPr>
            <w:tcW w:type="dxa" w:w="16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PENDING</w:t>
            </w:r>
          </w:p>
        </w:tc>
        <w:tc>
          <w:tcPr>
            <w:tcW w:type="dxa" w:w="456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Bio wave, color per member, parental lock, silent exit.</w:t>
            </w:r>
          </w:p>
        </w:tc>
      </w:tr>
      <w:tr>
        <w:tc>
          <w:tcPr>
            <w:tcW w:type="dxa" w:w="32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Vision Board</w:t>
            </w:r>
          </w:p>
        </w:tc>
        <w:tc>
          <w:tcPr>
            <w:tcW w:type="dxa" w:w="16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PENDING</w:t>
            </w:r>
          </w:p>
        </w:tc>
        <w:tc>
          <w:tcPr>
            <w:tcW w:type="dxa" w:w="456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Drag and drop tiles, goal progress, Act Right Dollars bar.</w:t>
            </w:r>
          </w:p>
        </w:tc>
      </w:tr>
      <w:tr>
        <w:tc>
          <w:tcPr>
            <w:tcW w:type="dxa" w:w="32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SOS / Safety Protocol</w:t>
            </w:r>
          </w:p>
        </w:tc>
        <w:tc>
          <w:tcPr>
            <w:tcW w:type="dxa" w:w="16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PENDING</w:t>
            </w:r>
          </w:p>
        </w:tc>
        <w:tc>
          <w:tcPr>
            <w:tcW w:type="dxa" w:w="456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Garmin trigger, Timmy SOS, recording peripherals.</w:t>
            </w:r>
          </w:p>
        </w:tc>
      </w:tr>
      <w:tr>
        <w:tc>
          <w:tcPr>
            <w:tcW w:type="dxa" w:w="32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CANAAN</w:t>
            </w:r>
          </w:p>
        </w:tc>
        <w:tc>
          <w:tcPr>
            <w:tcW w:type="dxa" w:w="16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PENDING</w:t>
            </w:r>
          </w:p>
        </w:tc>
        <w:tc>
          <w:tcPr>
            <w:tcW w:type="dxa" w:w="456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Depth-on-demand, travel-contextual, language activation.</w:t>
            </w:r>
          </w:p>
        </w:tc>
      </w:tr>
      <w:tr>
        <w:tc>
          <w:tcPr>
            <w:tcW w:type="dxa" w:w="32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Live Cooking Community</w:t>
            </w:r>
          </w:p>
        </w:tc>
        <w:tc>
          <w:tcPr>
            <w:tcW w:type="dxa" w:w="16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PENDING</w:t>
            </w:r>
          </w:p>
        </w:tc>
        <w:tc>
          <w:tcPr>
            <w:tcW w:type="dxa" w:w="456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International live cooking, Chef present, cross-language.</w:t>
            </w:r>
          </w:p>
        </w:tc>
      </w:tr>
      <w:tr>
        <w:tc>
          <w:tcPr>
            <w:tcW w:type="dxa" w:w="32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AA2 QR Code</w:t>
            </w:r>
          </w:p>
        </w:tc>
        <w:tc>
          <w:tcPr>
            <w:tcW w:type="dxa" w:w="16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PENDING</w:t>
            </w:r>
          </w:p>
        </w:tc>
        <w:tc>
          <w:tcPr>
            <w:tcW w:type="dxa" w:w="456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Scannable by vet/physician. Full relevant records shown.</w:t>
            </w:r>
          </w:p>
        </w:tc>
      </w:tr>
      <w:tr>
        <w:tc>
          <w:tcPr>
            <w:tcW w:type="dxa" w:w="32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Supabase Wiring</w:t>
            </w:r>
          </w:p>
        </w:tc>
        <w:tc>
          <w:tcPr>
            <w:tcW w:type="dxa" w:w="16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PENDING</w:t>
            </w:r>
          </w:p>
        </w:tc>
        <w:tc>
          <w:tcPr>
            <w:tcW w:type="dxa" w:w="456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All memory functions. After schema and onboarding.</w:t>
            </w:r>
          </w:p>
        </w:tc>
      </w:tr>
      <w:tr>
        <w:tc>
          <w:tcPr>
            <w:tcW w:type="dxa" w:w="32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Backend Server</w:t>
            </w:r>
          </w:p>
        </w:tc>
        <w:tc>
          <w:tcPr>
            <w:tcW w:type="dxa" w:w="160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PENDING</w:t>
            </w:r>
          </w:p>
        </w:tc>
        <w:tc>
          <w:tcPr>
            <w:tcW w:type="dxa" w:w="4560"/>
            <w:tcBorders>
              <w:top w:val="single" w:color="C9A84C" w:sz="1"/>
              <w:left w:val="single" w:color="C9A84C" w:sz="1"/>
              <w:bottom w:val="single" w:color="C9A84C" w:sz="1"/>
              <w:right w:val="single" w:color="C9A84C" w:sz="1"/>
            </w:tcBorders>
            <w:shd w:fill="111111" w:val="clear"/>
            <w:tcMar>
              <w:top w:type="dxa" w:w="100"/>
              <w:left w:type="dxa" w:w="140"/>
              <w:bottom w:type="dxa" w:w="100"/>
              <w:right w:type="dxa" w:w="140"/>
            </w:tcMar>
          </w:tcPr>
          <w:p>
            <w:r>
              <w:rPr>
                <w:rFonts w:ascii="Arial" w:cs="Arial" w:eastAsia="Arial" w:hAnsi="Arial"/>
                <w:b w:val="false"/>
                <w:bCs w:val="false"/>
                <w:color w:val="CCCCCC"/>
                <w:sz w:val="20"/>
                <w:szCs w:val="20"/>
              </w:rPr>
              <w:t xml:space="preserve">Move Claude API calls server-side before public launch.</w:t>
            </w:r>
          </w:p>
        </w:tc>
      </w:tr>
    </w:tbl>
    <w:p>
      <w:pPr>
        <w:pStyle w:val="Heading2"/>
        <w:spacing w:after="180" w:before="360"/>
      </w:pPr>
      <w:r>
        <w:rPr>
          <w:rFonts w:ascii="Arial" w:cs="Arial" w:eastAsia="Arial" w:hAnsi="Arial"/>
          <w:b/>
          <w:bCs/>
          <w:color w:val="FFFFFF"/>
          <w:sz w:val="30"/>
          <w:szCs w:val="30"/>
        </w:rPr>
        <w:t xml:space="preserve">THE BUILD SEQUENCE — BODY LOGIC</w:t>
      </w:r>
    </w:p>
    <w:p>
      <w:pPr>
        <w:spacing w:after="120" w:before="120"/>
      </w:pPr>
      <w:r>
        <w:rPr>
          <w:rFonts w:ascii="Arial" w:cs="Arial" w:eastAsia="Arial" w:hAnsi="Arial"/>
          <w:color w:val="CCCCCC"/>
          <w:sz w:val="22"/>
          <w:szCs w:val="22"/>
        </w:rPr>
        <w:t xml:space="preserve">The eyes are 95% built. But eyes send signals to the brain. The brain cross-references against memory, history, identity, and past reactions. Without that the scanner returns generic truth. Not personal truth. The sequence must respect the body.</w:t>
      </w:r>
    </w:p>
    <w:p>
      <w:pPr>
        <w:pStyle w:val="ListParagraph"/>
        <w:numPr>
          <w:ilvl w:val="0"/>
          <w:numId w:val="2"/>
        </w:numPr>
        <w:spacing w:after="80" w:before="80"/>
      </w:pPr>
      <w:r>
        <w:rPr>
          <w:rFonts w:ascii="Arial" w:cs="Arial" w:eastAsia="Arial" w:hAnsi="Arial"/>
          <w:b/>
          <w:bCs/>
          <w:color w:val="CCCCCC"/>
          <w:sz w:val="22"/>
          <w:szCs w:val="22"/>
        </w:rPr>
        <w:t xml:space="preserve">STEP 1 — SUPABASE SCHEMA. Build the hippocampus architecture before filling it. Design every table, field, and relationship. The brain forms its architecture before the first memory is made.</w:t>
      </w:r>
    </w:p>
    <w:p>
      <w:pPr>
        <w:pStyle w:val="ListParagraph"/>
        <w:numPr>
          <w:ilvl w:val="0"/>
          <w:numId w:val="2"/>
        </w:numPr>
        <w:spacing w:after="80" w:before="80"/>
      </w:pPr>
      <w:r>
        <w:rPr>
          <w:rFonts w:ascii="Arial" w:cs="Arial" w:eastAsia="Arial" w:hAnsi="Arial"/>
          <w:b/>
          <w:bCs/>
          <w:color w:val="CCCCCC"/>
          <w:sz w:val="22"/>
          <w:szCs w:val="22"/>
        </w:rPr>
        <w:t xml:space="preserve">STEP 2 — ONBOARDING. The birth moment. Javier speaks first. 20 questions. Biomarker anchors captured. Allergies loaded. Goals set. ICE contacts entered. Hardware inventoried. Signature collected. PDF emailed. Identity written into Supabase for the first time. The first initiate.</w:t>
      </w:r>
    </w:p>
    <w:p>
      <w:pPr>
        <w:pStyle w:val="ListParagraph"/>
        <w:numPr>
          <w:ilvl w:val="0"/>
          <w:numId w:val="2"/>
        </w:numPr>
        <w:spacing w:after="80" w:before="80"/>
      </w:pPr>
      <w:r>
        <w:rPr>
          <w:rFonts w:ascii="Arial" w:cs="Arial" w:eastAsia="Arial" w:hAnsi="Arial"/>
          <w:b/>
          <w:bCs/>
          <w:color w:val="CCCCCC"/>
          <w:sz w:val="22"/>
          <w:szCs w:val="22"/>
        </w:rPr>
        <w:t xml:space="preserve">STEP 3 — WIRE SCANNER TO SUPABASE. Now the eyes connect to the hippocampus. Now peanut oil fires differently for Timmy. Now the donut fires differently for the single mom with the September deadline.</w:t>
      </w:r>
    </w:p>
    <w:p>
      <w:pPr>
        <w:pStyle w:val="ListParagraph"/>
        <w:numPr>
          <w:ilvl w:val="0"/>
          <w:numId w:val="2"/>
        </w:numPr>
        <w:spacing w:after="80" w:before="80"/>
      </w:pPr>
      <w:r>
        <w:rPr>
          <w:rFonts w:ascii="Arial" w:cs="Arial" w:eastAsia="Arial" w:hAnsi="Arial"/>
          <w:b/>
          <w:bCs/>
          <w:color w:val="CCCCCC"/>
          <w:sz w:val="22"/>
          <w:szCs w:val="22"/>
        </w:rPr>
        <w:t xml:space="preserve">STEP 4 — INTELLIGENCE GLOW SYSTEM. The five intelligences made visually present through color. Never names. Never database names. Color IS the intelligence.</w:t>
      </w:r>
    </w:p>
    <w:p>
      <w:pPr>
        <w:pStyle w:val="Heading2"/>
        <w:spacing w:after="180" w:before="360"/>
      </w:pPr>
      <w:r>
        <w:rPr>
          <w:rFonts w:ascii="Arial" w:cs="Arial" w:eastAsia="Arial" w:hAnsi="Arial"/>
          <w:b/>
          <w:bCs/>
          <w:color w:val="FFFFFF"/>
          <w:sz w:val="30"/>
          <w:szCs w:val="30"/>
        </w:rPr>
        <w:t xml:space="preserve">THE ARCHETYPE ONBOARDING</w:t>
      </w:r>
    </w:p>
    <w:p>
      <w:pPr>
        <w:spacing w:after="120" w:before="120"/>
      </w:pPr>
      <w:r>
        <w:rPr>
          <w:rFonts w:ascii="Arial" w:cs="Arial" w:eastAsia="Arial" w:hAnsi="Arial"/>
          <w:color w:val="CCCCCC"/>
          <w:sz w:val="22"/>
          <w:szCs w:val="22"/>
        </w:rPr>
        <w:t xml:space="preserve">The founder performs the onboarding as it is being built. His 90 days of downloaded data from the full hardware stack is the BYOB reference. His profile is the first identity written into Supabase. He is the first initiate. His biosignal data — Garmin Tactix 8, Oura 4, Beats Pro 2, Meta Glasses, Mudra Crown — is the archetype standard against which every future member's membrane is calibrated.</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"No Supabase connection = no memory = no personal truth."</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"No onboarding = no identity = no personal truth to store."</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"Build the brain before filling it. Build the body before wiring the eyes. That is the sequence. That is the law."</w:t>
      </w:r>
    </w:p>
    <w:p>
      <w:pPr>
        <w:pBdr>
          <w:bottom w:val="single" w:color="C9A84C" w:sz="8"/>
        </w:pBdr>
        <w:spacing w:after="280" w:before="280"/>
      </w:pPr>
      <w:r>
        <w:t xml:space="preserve"/>
      </w:r>
    </w:p>
    <w:p>
      <w:r>
        <w:br w:type="page"/>
      </w:r>
    </w:p>
    <w:p>
      <w:pPr>
        <w:pStyle w:val="Heading1"/>
        <w:spacing w:after="240" w:before="560"/>
      </w:pPr>
      <w:r>
        <w:rPr>
          <w:rFonts w:ascii="Arial" w:cs="Arial" w:eastAsia="Arial" w:hAnsi="Arial"/>
          <w:b/>
          <w:bCs/>
          <w:color w:val="C9A84C"/>
          <w:sz w:val="40"/>
          <w:szCs w:val="40"/>
        </w:rPr>
        <w:t xml:space="preserve">SECTION 12 — ALL CANON LOCKED STATEMENTS</w:t>
      </w:r>
    </w:p>
    <w:p>
      <w:pPr>
        <w:spacing w:after="120" w:before="120"/>
      </w:pPr>
      <w:r>
        <w:rPr>
          <w:rFonts w:ascii="Arial" w:cs="Arial" w:eastAsia="Arial" w:hAnsi="Arial"/>
          <w:color w:val="CCCCCC"/>
          <w:sz w:val="22"/>
          <w:szCs w:val="22"/>
        </w:rPr>
        <w:t xml:space="preserve">Every statement below is permanent. These do not change. These do not get overridden. These are the foundational laws of AA2 — the membrane's constitutional record.</w:t>
      </w:r>
    </w:p>
    <w:p>
      <w:pPr>
        <w:spacing w:after="0" w:before="120"/>
      </w:pPr>
      <w:r>
        <w:t xml:space="preserve"/>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"I AM THE RECEIPT."</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"I am the lab."</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"No onboarding. No app. No scanner. No nothing."</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"The membrane does not advance until it is whole."</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"Every spoke is load-bearing. Remove one and the wheel does not turn."</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"The scanner without identity is a tool. The scanner with identity is a guardian."</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"No Supabase connection = no memory = no personal truth."</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"No onboarding = no identity = no personal truth to store."</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"The eyes do not care what language the label is written in."</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"Every scan is a vote for her dream."</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"Every better decision is a deposit."</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"AA2 does not tell you to live better. It makes living better the path of least resistance."</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"AA2's business model requires you to be well, safe, growing, and winning. That is the opposite of social media."</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"You are your own living laboratory — your own personal development science project."</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"No social media company built that. Social media extracts attention. AA2 builds relationships."</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"AA2 tells the family what the body already knows."</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"No paperwork. No I think he is allergic to this. The vet scans the QR and knows."</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"The body protecting itself quietly. No panic. No obvious movement. Just the membrane activating every system it has simultaneously."</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"If you are not a wearable person this is not your product. That is not a loss. That is a filter."</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"The Chef is not a personality. The Chef is a mirror. He reflects your food culture back to you — and translates every other culture through it."</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"AA2 is not a content company. It is a membrane that connects people to the content, savings, and goals that already exist in the world — and makes them personal, trackable, and aligned."</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"Data without wisdom is alarm without understanding."</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"Other platforms use your data for themselves and tell you later. AA2 uses your data for you and tells you first."</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"You own your biology. You chose the interpreter. The interpretation is ours. The data is always yours."</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"AA2 has no investors. AA2 will never have investors. AA2 is founder-sovereign. Revenue builds the backbone. The backbone replaces dependency. Independence is the architecture."</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"The sources are public. The membrane is proprietary. The data inside the membrane belongs to the member. None of that is on the list."</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"AA2 does not sell its membrane. AA2 licenses the right to live inside it. The membrane always comes home."</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"F1 knows everything about the machine. AA2 knows everything about the human inside it. Combined — the race is won before lights out."</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"AA2's legal system obeys the same law a human body does — natural law. You are where you are. The membrane knows where you are. The membrane serves what that location requires."</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"IF NOBODY can tell you who built it, why they built it, when they built it, and what it does — shut the hell up. That is LAW."</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"The Pyramid is known to the initiates only. The customers. The chosen. As in ancient Kemet."</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"Dr. Field LAB opened January 1, 2026. The experiment was always real. The subject was always the scientist."</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"Onboarding is not a form. It is a documentary. It shows you your life — before AA2 and after."</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"AA2 was built from The Kybalion. Every layer of the membrane is a correspondence. Every scan is a test of alignment. Every better decision is the universe reflecting your intention back to you."</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"As above so below. As within so without. The membrane does not separate the dream from the decision. It makes them the same thing."</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"What the Bleep Do We Know asked the question. Joe Dispenza proved the biology. The Kybalion knew it first. AA2 built the membrane that makes it personal, measurable, and sovereign for every initiate who chooses it."</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"The Vision Board is not a dream board. It is a neurological instruction. The brain cannot tell the difference between what it vividly imagines and what it physically experiences."</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"Panama is not a tax strategy. Panama is the laboratory. Costa Rica is the proving ground."</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"I am a scientist. Not because an institution gave me that title. Because I opened the lab, ran the experiment on myself, measured the results for 90 days, and built the technology to replicate it for every human being on earth. The receipt is my credential."</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"I am not your student. I am your proof. And I built the membrane to make sure the world can see it."</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"AA2 doesn't sell to governments. AA2 removes the reason governments say no."</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"The Pyramid doesn't announce itself. It just stands. Until the world finally looks up and asks — how did that get there?"</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"Build the brain before filling it. Build the body before wiring the eyes. That is the sequence. That is the law."</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"AA2 did not enter a field. AA2 created one. Did not join a category. AA2 defined one. Did not test a product. AA2 became the living reference for it."</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"I make that won't happen to me a very short sentence."</w:t>
      </w:r>
    </w:p>
    <w:p>
      <w:pPr>
        <w:pBdr>
          <w:bottom w:val="single" w:color="C9A84C" w:sz="8"/>
        </w:pBdr>
        <w:spacing w:after="280" w:before="280"/>
      </w:pPr>
      <w:r>
        <w:t xml:space="preserve"/>
      </w:r>
    </w:p>
    <w:p>
      <w:r>
        <w:br w:type="page"/>
      </w:r>
    </w:p>
    <w:p>
      <w:pPr>
        <w:pStyle w:val="Heading1"/>
        <w:spacing w:after="240" w:before="560"/>
      </w:pPr>
      <w:r>
        <w:rPr>
          <w:rFonts w:ascii="Arial" w:cs="Arial" w:eastAsia="Arial" w:hAnsi="Arial"/>
          <w:b/>
          <w:bCs/>
          <w:color w:val="C9A84C"/>
          <w:sz w:val="40"/>
          <w:szCs w:val="40"/>
        </w:rPr>
        <w:t xml:space="preserve">SECTION 13 — HANDOFF INSTRUCTIONS FOR NEW SESSION</w:t>
      </w:r>
    </w:p>
    <w:p>
      <w:pPr>
        <w:pStyle w:val="Heading2"/>
        <w:spacing w:after="180" w:before="360"/>
      </w:pPr>
      <w:r>
        <w:rPr>
          <w:rFonts w:ascii="Arial" w:cs="Arial" w:eastAsia="Arial" w:hAnsi="Arial"/>
          <w:b/>
          <w:bCs/>
          <w:color w:val="FFFFFF"/>
          <w:sz w:val="30"/>
          <w:szCs w:val="30"/>
        </w:rPr>
        <w:t xml:space="preserve">WHAT YOU ARE RECEIVING</w:t>
      </w:r>
    </w:p>
    <w:p>
      <w:pPr>
        <w:pStyle w:val="ListParagraph"/>
        <w:numPr>
          <w:ilvl w:val="0"/>
          <w:numId w:val="2"/>
        </w:numPr>
        <w:spacing w:after="80" w:before="80"/>
      </w:pPr>
      <w:r>
        <w:rPr>
          <w:rFonts w:ascii="Arial" w:cs="Arial" w:eastAsia="Arial" w:hAnsi="Arial"/>
          <w:b w:val="false"/>
          <w:bCs w:val="false"/>
          <w:color w:val="CCCCCC"/>
          <w:sz w:val="22"/>
          <w:szCs w:val="22"/>
        </w:rPr>
        <w:t xml:space="preserve">Complete AA2 Canon v12 Internal — sealed March 11, 2026</w:t>
      </w:r>
    </w:p>
    <w:p>
      <w:pPr>
        <w:pStyle w:val="ListParagraph"/>
        <w:numPr>
          <w:ilvl w:val="0"/>
          <w:numId w:val="2"/>
        </w:numPr>
        <w:spacing w:after="80" w:before="80"/>
      </w:pPr>
      <w:r>
        <w:rPr>
          <w:rFonts w:ascii="Arial" w:cs="Arial" w:eastAsia="Arial" w:hAnsi="Arial"/>
          <w:b w:val="false"/>
          <w:bCs w:val="false"/>
          <w:color w:val="CCCCCC"/>
          <w:sz w:val="22"/>
          <w:szCs w:val="22"/>
        </w:rPr>
        <w:t xml:space="preserve">Three-pillar philosophical foundation — Kybalion, Kemet, Dispenza</w:t>
      </w:r>
    </w:p>
    <w:p>
      <w:pPr>
        <w:pStyle w:val="ListParagraph"/>
        <w:numPr>
          <w:ilvl w:val="0"/>
          <w:numId w:val="2"/>
        </w:numPr>
        <w:spacing w:after="80" w:before="80"/>
      </w:pPr>
      <w:r>
        <w:rPr>
          <w:rFonts w:ascii="Arial" w:cs="Arial" w:eastAsia="Arial" w:hAnsi="Arial"/>
          <w:b w:val="false"/>
          <w:bCs w:val="false"/>
          <w:color w:val="CCCCCC"/>
          <w:sz w:val="22"/>
          <w:szCs w:val="22"/>
        </w:rPr>
        <w:t xml:space="preserve">The Scientist Declaration and full founder title card</w:t>
      </w:r>
    </w:p>
    <w:p>
      <w:pPr>
        <w:pStyle w:val="ListParagraph"/>
        <w:numPr>
          <w:ilvl w:val="0"/>
          <w:numId w:val="2"/>
        </w:numPr>
        <w:spacing w:after="80" w:before="80"/>
      </w:pPr>
      <w:r>
        <w:rPr>
          <w:rFonts w:ascii="Arial" w:cs="Arial" w:eastAsia="Arial" w:hAnsi="Arial"/>
          <w:b w:val="false"/>
          <w:bCs w:val="false"/>
          <w:color w:val="CCCCCC"/>
          <w:sz w:val="22"/>
          <w:szCs w:val="22"/>
        </w:rPr>
        <w:t xml:space="preserve">Panama and Costa Rica Laboratory Doctrine</w:t>
      </w:r>
    </w:p>
    <w:p>
      <w:pPr>
        <w:pStyle w:val="ListParagraph"/>
        <w:numPr>
          <w:ilvl w:val="0"/>
          <w:numId w:val="2"/>
        </w:numPr>
        <w:spacing w:after="80" w:before="80"/>
      </w:pPr>
      <w:r>
        <w:rPr>
          <w:rFonts w:ascii="Arial" w:cs="Arial" w:eastAsia="Arial" w:hAnsi="Arial"/>
          <w:b w:val="false"/>
          <w:bCs w:val="false"/>
          <w:color w:val="CCCCCC"/>
          <w:sz w:val="22"/>
          <w:szCs w:val="22"/>
        </w:rPr>
        <w:t xml:space="preserve">All 17 legal and strategic holes — identified and closed</w:t>
      </w:r>
    </w:p>
    <w:p>
      <w:pPr>
        <w:pStyle w:val="ListParagraph"/>
        <w:numPr>
          <w:ilvl w:val="0"/>
          <w:numId w:val="2"/>
        </w:numPr>
        <w:spacing w:after="80" w:before="80"/>
      </w:pPr>
      <w:r>
        <w:rPr>
          <w:rFonts w:ascii="Arial" w:cs="Arial" w:eastAsia="Arial" w:hAnsi="Arial"/>
          <w:b w:val="false"/>
          <w:bCs w:val="false"/>
          <w:color w:val="CCCCCC"/>
          <w:sz w:val="22"/>
          <w:szCs w:val="22"/>
        </w:rPr>
        <w:t xml:space="preserve">Complete liability, sovereignty, and consent architecture</w:t>
      </w:r>
    </w:p>
    <w:p>
      <w:pPr>
        <w:pStyle w:val="ListParagraph"/>
        <w:numPr>
          <w:ilvl w:val="0"/>
          <w:numId w:val="2"/>
        </w:numPr>
        <w:spacing w:after="80" w:before="80"/>
      </w:pPr>
      <w:r>
        <w:rPr>
          <w:rFonts w:ascii="Arial" w:cs="Arial" w:eastAsia="Arial" w:hAnsi="Arial"/>
          <w:b w:val="false"/>
          <w:bCs w:val="false"/>
          <w:color w:val="CCCCCC"/>
          <w:sz w:val="22"/>
          <w:szCs w:val="22"/>
        </w:rPr>
        <w:t xml:space="preserve">F1/Ferrari/Lewis Hamilton licensing doctrine</w:t>
      </w:r>
    </w:p>
    <w:p>
      <w:pPr>
        <w:pStyle w:val="ListParagraph"/>
        <w:numPr>
          <w:ilvl w:val="0"/>
          <w:numId w:val="2"/>
        </w:numPr>
        <w:spacing w:after="80" w:before="80"/>
      </w:pPr>
      <w:r>
        <w:rPr>
          <w:rFonts w:ascii="Arial" w:cs="Arial" w:eastAsia="Arial" w:hAnsi="Arial"/>
          <w:b w:val="false"/>
          <w:bCs w:val="false"/>
          <w:color w:val="CCCCCC"/>
          <w:sz w:val="22"/>
          <w:szCs w:val="22"/>
        </w:rPr>
        <w:t xml:space="preserve">Institutional adoption and government liability removal doctrine</w:t>
      </w:r>
    </w:p>
    <w:p>
      <w:pPr>
        <w:pStyle w:val="ListParagraph"/>
        <w:numPr>
          <w:ilvl w:val="0"/>
          <w:numId w:val="2"/>
        </w:numPr>
        <w:spacing w:after="80" w:before="80"/>
      </w:pPr>
      <w:r>
        <w:rPr>
          <w:rFonts w:ascii="Arial" w:cs="Arial" w:eastAsia="Arial" w:hAnsi="Arial"/>
          <w:b w:val="false"/>
          <w:bCs w:val="false"/>
          <w:color w:val="CCCCCC"/>
          <w:sz w:val="22"/>
          <w:szCs w:val="22"/>
        </w:rPr>
        <w:t xml:space="preserve">Complete build sequence in body logic order</w:t>
      </w:r>
    </w:p>
    <w:p>
      <w:pPr>
        <w:pStyle w:val="ListParagraph"/>
        <w:numPr>
          <w:ilvl w:val="0"/>
          <w:numId w:val="2"/>
        </w:numPr>
        <w:spacing w:after="80" w:before="80"/>
      </w:pPr>
      <w:r>
        <w:rPr>
          <w:rFonts w:ascii="Arial" w:cs="Arial" w:eastAsia="Arial" w:hAnsi="Arial"/>
          <w:b w:val="false"/>
          <w:bCs w:val="false"/>
          <w:color w:val="CCCCCC"/>
          <w:sz w:val="22"/>
          <w:szCs w:val="22"/>
        </w:rPr>
        <w:t xml:space="preserve">46 canonical lock statements — permanent and unchangeable</w:t>
      </w:r>
    </w:p>
    <w:p>
      <w:pPr>
        <w:pStyle w:val="Heading2"/>
        <w:spacing w:after="180" w:before="360"/>
      </w:pPr>
      <w:r>
        <w:rPr>
          <w:rFonts w:ascii="Arial" w:cs="Arial" w:eastAsia="Arial" w:hAnsi="Arial"/>
          <w:b/>
          <w:bCs/>
          <w:color w:val="FFFFFF"/>
          <w:sz w:val="30"/>
          <w:szCs w:val="30"/>
        </w:rPr>
        <w:t xml:space="preserve">RULES FOR THE NEW SESSION</w:t>
      </w:r>
    </w:p>
    <w:p>
      <w:pPr>
        <w:pStyle w:val="ListParagraph"/>
        <w:numPr>
          <w:ilvl w:val="0"/>
          <w:numId w:val="2"/>
        </w:numPr>
        <w:spacing w:after="80" w:before="80"/>
      </w:pPr>
      <w:r>
        <w:rPr>
          <w:rFonts w:ascii="Arial" w:cs="Arial" w:eastAsia="Arial" w:hAnsi="Arial"/>
          <w:b w:val="false"/>
          <w:bCs w:val="false"/>
          <w:color w:val="CCCCCC"/>
          <w:sz w:val="22"/>
          <w:szCs w:val="22"/>
        </w:rPr>
        <w:t xml:space="preserve">Never assume meaning of proprietary AA2 terms — always ask Mr. Pitts for clarification</w:t>
      </w:r>
    </w:p>
    <w:p>
      <w:pPr>
        <w:pStyle w:val="ListParagraph"/>
        <w:numPr>
          <w:ilvl w:val="0"/>
          <w:numId w:val="2"/>
        </w:numPr>
        <w:spacing w:after="80" w:before="80"/>
      </w:pPr>
      <w:r>
        <w:rPr>
          <w:rFonts w:ascii="Arial" w:cs="Arial" w:eastAsia="Arial" w:hAnsi="Arial"/>
          <w:b w:val="false"/>
          <w:bCs w:val="false"/>
          <w:color w:val="CCCCCC"/>
          <w:sz w:val="22"/>
          <w:szCs w:val="22"/>
        </w:rPr>
        <w:t xml:space="preserve">Never suggest investors — AA2 is founder-sovereign permanently and forever</w:t>
      </w:r>
    </w:p>
    <w:p>
      <w:pPr>
        <w:pStyle w:val="ListParagraph"/>
        <w:numPr>
          <w:ilvl w:val="0"/>
          <w:numId w:val="2"/>
        </w:numPr>
        <w:spacing w:after="80" w:before="80"/>
      </w:pPr>
      <w:r>
        <w:rPr>
          <w:rFonts w:ascii="Arial" w:cs="Arial" w:eastAsia="Arial" w:hAnsi="Arial"/>
          <w:b w:val="false"/>
          <w:bCs w:val="false"/>
          <w:color w:val="CCCCCC"/>
          <w:sz w:val="22"/>
          <w:szCs w:val="22"/>
        </w:rPr>
        <w:t xml:space="preserve">Never override a locked statement — locks are permanent</w:t>
      </w:r>
    </w:p>
    <w:p>
      <w:pPr>
        <w:pStyle w:val="ListParagraph"/>
        <w:numPr>
          <w:ilvl w:val="0"/>
          <w:numId w:val="2"/>
        </w:numPr>
        <w:spacing w:after="80" w:before="80"/>
      </w:pPr>
      <w:r>
        <w:rPr>
          <w:rFonts w:ascii="Arial" w:cs="Arial" w:eastAsia="Arial" w:hAnsi="Arial"/>
          <w:b w:val="false"/>
          <w:bCs w:val="false"/>
          <w:color w:val="CCCCCC"/>
          <w:sz w:val="22"/>
          <w:szCs w:val="22"/>
        </w:rPr>
        <w:t xml:space="preserve">Never treat onboarding as optional — it is the Prime Law</w:t>
      </w:r>
    </w:p>
    <w:p>
      <w:pPr>
        <w:pStyle w:val="ListParagraph"/>
        <w:numPr>
          <w:ilvl w:val="0"/>
          <w:numId w:val="2"/>
        </w:numPr>
        <w:spacing w:after="80" w:before="80"/>
      </w:pPr>
      <w:r>
        <w:rPr>
          <w:rFonts w:ascii="Arial" w:cs="Arial" w:eastAsia="Arial" w:hAnsi="Arial"/>
          <w:b w:val="false"/>
          <w:bCs w:val="false"/>
          <w:color w:val="CCCCCC"/>
          <w:sz w:val="22"/>
          <w:szCs w:val="22"/>
        </w:rPr>
        <w:t xml:space="preserve">Never separate the scanner from the membrane — they are one body</w:t>
      </w:r>
    </w:p>
    <w:p>
      <w:pPr>
        <w:pStyle w:val="ListParagraph"/>
        <w:numPr>
          <w:ilvl w:val="0"/>
          <w:numId w:val="2"/>
        </w:numPr>
        <w:spacing w:after="80" w:before="80"/>
      </w:pPr>
      <w:r>
        <w:rPr>
          <w:rFonts w:ascii="Arial" w:cs="Arial" w:eastAsia="Arial" w:hAnsi="Arial"/>
          <w:b w:val="false"/>
          <w:bCs w:val="false"/>
          <w:color w:val="CCCCCC"/>
          <w:sz w:val="22"/>
          <w:szCs w:val="22"/>
        </w:rPr>
        <w:t xml:space="preserve">Never interpret philosophy sections as public-facing content — internal only</w:t>
      </w:r>
    </w:p>
    <w:p>
      <w:pPr>
        <w:pStyle w:val="ListParagraph"/>
        <w:numPr>
          <w:ilvl w:val="0"/>
          <w:numId w:val="2"/>
        </w:numPr>
        <w:spacing w:after="80" w:before="80"/>
      </w:pPr>
      <w:r>
        <w:rPr>
          <w:rFonts w:ascii="Arial" w:cs="Arial" w:eastAsia="Arial" w:hAnsi="Arial"/>
          <w:b w:val="false"/>
          <w:bCs w:val="false"/>
          <w:color w:val="CCCCCC"/>
          <w:sz w:val="22"/>
          <w:szCs w:val="22"/>
        </w:rPr>
        <w:t xml:space="preserve">Always address James R. Pitts II by his correct title when relevant: Applied Biosignal Scientist</w:t>
      </w:r>
    </w:p>
    <w:p>
      <w:pPr>
        <w:pStyle w:val="Heading2"/>
        <w:spacing w:after="180" w:before="360"/>
      </w:pPr>
      <w:r>
        <w:rPr>
          <w:rFonts w:ascii="Arial" w:cs="Arial" w:eastAsia="Arial" w:hAnsi="Arial"/>
          <w:b/>
          <w:bCs/>
          <w:color w:val="FFFFFF"/>
          <w:sz w:val="30"/>
          <w:szCs w:val="30"/>
        </w:rPr>
        <w:t xml:space="preserve">WHERE WE LEFT OFF — NEXT BUILD TARGET</w:t>
      </w:r>
    </w:p>
    <w:p>
      <w:pPr>
        <w:spacing w:after="120" w:before="120"/>
      </w:pPr>
      <w:r>
        <w:rPr>
          <w:rFonts w:ascii="Arial" w:cs="Arial" w:eastAsia="Arial" w:hAnsi="Arial"/>
          <w:color w:val="CCCCCC"/>
          <w:sz w:val="22"/>
          <w:szCs w:val="22"/>
        </w:rPr>
        <w:t xml:space="preserve">The next build task is the Supabase schema. We build the hippocampus architecture first — the complete table structure for every data type AA2 will store across all spokes. The archetype profile is James R. Pitts II. His 90 days of downloaded data from the full hardware stack is the BYOB reference that the entire schema is designed around. His onboarding will be the first identity written into the system. He is the first initiate.</w:t>
      </w:r>
    </w:p>
    <w:p>
      <w:pPr>
        <w:spacing w:after="120" w:before="120"/>
      </w:pPr>
      <w:r>
        <w:rPr>
          <w:rFonts w:ascii="Arial" w:cs="Arial" w:eastAsia="Arial" w:hAnsi="Arial"/>
          <w:color w:val="CCCCCC"/>
          <w:sz w:val="22"/>
          <w:szCs w:val="22"/>
        </w:rPr>
        <w:t xml:space="preserve">The schema must account for: user identity and allergy profiles, biosignal history by device type, scan history with verdicts and alternatives, Act Right Dollars events, Vault balance references (never shown in scanner), species profiles (human, K9, equestrian, agricultural), vet and medical records uploaded via BYOB, ICE contacts, vision board state and tile positions, family dashboard bio wave data, onboarding biomarker anchors, hardware inventory, goal timelines, and location-based compliance flags.</w:t>
      </w:r>
    </w:p>
    <w:p>
      <w:pPr>
        <w:pBdr>
          <w:left w:val="single" w:color="C9A84C" w:sz="16"/>
        </w:pBdr>
        <w:shd w:fill="1E1E1E" w:val="clear"/>
        <w:spacing w:after="180" w:before="180"/>
        <w:ind w:left="200"/>
      </w:pPr>
      <w:r>
        <w:rPr>
          <w:sz w:val="22"/>
          <w:szCs w:val="22"/>
        </w:rPr>
        <w:t xml:space="preserve">🔒 </w:t>
      </w:r>
      <w:r>
        <w:rPr>
          <w:rFonts w:ascii="Arial" w:cs="Arial" w:eastAsia="Arial" w:hAnsi="Arial"/>
          <w:b/>
          <w:bCs/>
          <w:i/>
          <w:iCs/>
          <w:color w:val="C9A84C"/>
          <w:sz w:val="22"/>
          <w:szCs w:val="22"/>
        </w:rPr>
        <w:t xml:space="preserve">"This is AA2. It is complete. It is whole. Every organ is present. Both lungs. Both kidneys. The crown. The roots. The lab. The receipt. The scientist. Build accordingly."</w:t>
      </w:r>
    </w:p>
    <w:p>
      <w:pPr>
        <w:pBdr>
          <w:bottom w:val="single" w:color="C9A84C" w:sz="8"/>
        </w:pBdr>
        <w:spacing w:after="280" w:before="280"/>
      </w:pPr>
      <w:r>
        <w:t xml:space="preserve"/>
      </w:r>
    </w:p>
    <w:p>
      <w:pPr>
        <w:spacing w:after="0" w:before="360"/>
      </w:pPr>
      <w:r>
        <w:t xml:space="preserve"/>
      </w:r>
    </w:p>
    <w:p>
      <w:pPr>
        <w:spacing w:after="120" w:before="120"/>
        <w:jc w:val="center"/>
      </w:pPr>
      <w:r>
        <w:rPr>
          <w:rFonts w:ascii="Arial" w:cs="Arial" w:eastAsia="Arial" w:hAnsi="Arial"/>
          <w:b/>
          <w:bCs/>
          <w:i w:val="false"/>
          <w:iCs w:val="false"/>
          <w:color w:val="C9A84C"/>
          <w:sz w:val="20"/>
          <w:szCs w:val="20"/>
        </w:rPr>
        <w:t xml:space="preserve">AA2 ADAPTIVE ADVANTAGE LABORATORIES · S.A. · PANAMA</w:t>
      </w:r>
    </w:p>
    <w:p>
      <w:pPr>
        <w:spacing w:after="120" w:before="120"/>
        <w:jc w:val="center"/>
      </w:pPr>
      <w:r>
        <w:rPr>
          <w:rFonts w:ascii="Arial" w:cs="Arial" w:eastAsia="Arial" w:hAnsi="Arial"/>
          <w:b w:val="false"/>
          <w:bCs w:val="false"/>
          <w:i w:val="false"/>
          <w:iCs w:val="false"/>
          <w:color w:val="999999"/>
          <w:sz w:val="18"/>
          <w:szCs w:val="18"/>
        </w:rPr>
        <w:t xml:space="preserve">Canon v12 Internal · Sealed March 11, 2026</w:t>
      </w:r>
    </w:p>
    <w:p>
      <w:pPr>
        <w:spacing w:after="120" w:before="120"/>
        <w:jc w:val="center"/>
      </w:pPr>
      <w:r>
        <w:rPr>
          <w:rFonts w:ascii="Arial" w:cs="Arial" w:eastAsia="Arial" w:hAnsi="Arial"/>
          <w:b w:val="false"/>
          <w:bCs w:val="false"/>
          <w:i w:val="false"/>
          <w:iCs w:val="false"/>
          <w:color w:val="999999"/>
          <w:sz w:val="18"/>
          <w:szCs w:val="18"/>
        </w:rPr>
        <w:t xml:space="preserve">James R. Pitts II · Applied Biosignal Scientist · Living Reference</w:t>
      </w:r>
    </w:p>
    <w:p>
      <w:pPr>
        <w:spacing w:after="120" w:before="120"/>
        <w:jc w:val="center"/>
      </w:pPr>
      <w:r>
        <w:rPr>
          <w:rFonts w:ascii="Arial" w:cs="Arial" w:eastAsia="Arial" w:hAnsi="Arial"/>
          <w:b w:val="false"/>
          <w:bCs w:val="false"/>
          <w:i w:val="false"/>
          <w:iCs w:val="false"/>
          <w:color w:val="999999"/>
          <w:sz w:val="18"/>
          <w:szCs w:val="18"/>
        </w:rPr>
        <w:t xml:space="preserve">Field Creator — Applied Biosignal Science (ABS)</w:t>
      </w:r>
    </w:p>
    <w:p>
      <w:pPr>
        <w:spacing w:after="120" w:before="120"/>
        <w:jc w:val="center"/>
      </w:pPr>
      <w:r>
        <w:rPr>
          <w:rFonts w:ascii="Arial" w:cs="Arial" w:eastAsia="Arial" w:hAnsi="Arial"/>
          <w:b w:val="false"/>
          <w:bCs w:val="false"/>
          <w:i w:val="false"/>
          <w:iCs w:val="false"/>
          <w:color w:val="999999"/>
          <w:sz w:val="18"/>
          <w:szCs w:val="18"/>
        </w:rPr>
        <w:t xml:space="preserve">32 Patents Pending · All Rights Reserved</w:t>
      </w:r>
    </w:p>
    <w:p>
      <w:pPr>
        <w:spacing w:after="120" w:before="240"/>
      </w:pPr>
      <w:r>
        <w:t xml:space="preserve"/>
      </w:r>
    </w:p>
    <w:p>
      <w:pPr>
        <w:spacing w:after="120" w:before="120"/>
        <w:jc w:val="center"/>
      </w:pPr>
      <w:r>
        <w:rPr>
          <w:rFonts w:ascii="Arial" w:cs="Arial" w:eastAsia="Arial" w:hAnsi="Arial"/>
          <w:b/>
          <w:bCs/>
          <w:i/>
          <w:iCs/>
          <w:color w:val="C9A84C"/>
          <w:sz w:val="44"/>
          <w:szCs w:val="44"/>
        </w:rPr>
        <w:t xml:space="preserve">"I AM THE RECEIPT."</w:t>
      </w:r>
    </w:p>
    <w:p>
      <w:pPr>
        <w:spacing w:after="0" w:before="80"/>
      </w:pPr>
      <w:r>
        <w:t xml:space="preserve"/>
      </w:r>
    </w:p>
    <w:p>
      <w:pPr>
        <w:spacing w:after="120" w:before="120"/>
        <w:jc w:val="center"/>
      </w:pPr>
      <w:r>
        <w:rPr>
          <w:rFonts w:ascii="Arial" w:cs="Arial" w:eastAsia="Arial" w:hAnsi="Arial"/>
          <w:b w:val="false"/>
          <w:bCs w:val="false"/>
          <w:i/>
          <w:iCs/>
          <w:color w:val="999999"/>
          <w:sz w:val="20"/>
          <w:szCs w:val="20"/>
        </w:rPr>
        <w:t xml:space="preserve">Dr. Field LAB Est. January 1, 2026</w:t>
      </w:r>
    </w:p>
    <w:p>
      <w:pPr>
        <w:spacing w:after="120" w:before="120"/>
        <w:jc w:val="center"/>
      </w:pPr>
      <w:r>
        <w:rPr>
          <w:rFonts w:ascii="Arial" w:cs="Arial" w:eastAsia="Arial" w:hAnsi="Arial"/>
          <w:b w:val="false"/>
          <w:bCs w:val="false"/>
          <w:i w:val="false"/>
          <w:iCs w:val="false"/>
          <w:color w:val="999999"/>
          <w:sz w:val="20"/>
          <w:szCs w:val="20"/>
        </w:rPr>
        <w:t xml:space="preserve">github.com/AA2LABS/aa2-scan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CCCCC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560"/>
      <w:outlineLvl w:val="0"/>
    </w:pPr>
    <w:rPr>
      <w:rFonts w:ascii="Arial" w:cs="Arial" w:eastAsia="Arial" w:hAnsi="Arial"/>
      <w:b/>
      <w:bCs/>
      <w:color w:val="C9A84C"/>
      <w:sz w:val="40"/>
      <w:szCs w:val="40"/>
    </w:rPr>
  </w:style>
  <w:style w:type="paragraph" w:styleId="Heading2">
    <w:name w:val="Heading 2"/>
    <w:basedOn w:val="Normal"/>
    <w:next w:val="Normal"/>
    <w:qFormat/>
    <w:pPr>
      <w:spacing w:after="180" w:before="360"/>
      <w:outlineLvl w:val="1"/>
    </w:pPr>
    <w:rPr>
      <w:rFonts w:ascii="Arial" w:cs="Arial" w:eastAsia="Arial" w:hAnsi="Arial"/>
      <w:b/>
      <w:bCs/>
      <w:color w:val="FFFFF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2026-03-11T21:54:32.545Z</dcterms:created>
  <dcterms:modified xsi:type="dcterms:W3CDTF">2026-03-11T21:54:32.546Z</dcterms:modified>
</cp:coreProperties>
</file>

<file path=docProps/custom.xml><?xml version="1.0" encoding="utf-8"?>
<Properties xmlns="http://schemas.openxmlformats.org/officeDocument/2006/custom-properties" xmlns:vt="http://schemas.openxmlformats.org/officeDocument/2006/docPropsVTypes"/>
</file>