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0875A"/>
          <w:sz w:val="96"/>
          <w:szCs w:val="96"/>
        </w:rPr>
        <w:t xml:space="preserve">AA2</w:t>
      </w:r>
    </w:p>
    <w:p>
      <w:pPr>
        <w:spacing w:after="240" w:before="0"/>
        <w:jc w:val="center"/>
      </w:pPr>
      <w:r>
        <w:rPr>
          <w:rFonts w:ascii="Arial" w:cs="Arial" w:eastAsia="Arial" w:hAnsi="Arial"/>
          <w:b/>
          <w:bCs/>
          <w:color w:val="0A0A0F"/>
          <w:sz w:val="48"/>
          <w:szCs w:val="48"/>
        </w:rPr>
        <w:t xml:space="preserve">MASTER CANON</w:t>
      </w:r>
    </w:p>
    <w:p>
      <w:pPr>
        <w:spacing w:after="120" w:before="0"/>
        <w:jc w:val="center"/>
      </w:pPr>
      <w:r>
        <w:rPr>
          <w:rFonts w:ascii="Arial" w:cs="Arial" w:eastAsia="Arial" w:hAnsi="Arial"/>
          <w:b/>
          <w:bCs/>
          <w:color w:val="1A5276"/>
          <w:sz w:val="36"/>
          <w:szCs w:val="36"/>
        </w:rPr>
        <w:t xml:space="preserve">VERSION 7</w:t>
      </w:r>
    </w:p>
    <w:p>
      <w:pPr>
        <w:spacing w:after="480" w:before="0"/>
        <w:jc w:val="center"/>
      </w:pPr>
      <w:r>
        <w:rPr>
          <w:rFonts w:ascii="Arial" w:cs="Arial" w:eastAsia="Arial" w:hAnsi="Arial"/>
          <w:i/>
          <w:iCs/>
          <w:color w:val="888899"/>
          <w:sz w:val="24"/>
          <w:szCs w:val="24"/>
        </w:rPr>
        <w:t xml:space="preserve">Sealed March 9, 2026</w:t>
      </w:r>
    </w:p>
    <w:p>
      <w:pPr>
        <w:spacing w:after="120" w:before="0"/>
        <w:jc w:val="center"/>
      </w:pPr>
      <w:r>
        <w:rPr>
          <w:rFonts w:ascii="Arial" w:cs="Arial" w:eastAsia="Arial" w:hAnsi="Arial"/>
          <w:b/>
          <w:bCs/>
          <w:color w:val="0A0A0F"/>
          <w:sz w:val="26"/>
          <w:szCs w:val="26"/>
        </w:rPr>
        <w:t xml:space="preserve">James R. Pitts II</w:t>
      </w:r>
    </w:p>
    <w:p>
      <w:pPr>
        <w:spacing w:after="80" w:before="0"/>
        <w:jc w:val="center"/>
      </w:pPr>
      <w:r>
        <w:rPr>
          <w:rFonts w:ascii="Arial" w:cs="Arial" w:eastAsia="Arial" w:hAnsi="Arial"/>
          <w:color w:val="888899"/>
          <w:sz w:val="22"/>
          <w:szCs w:val="22"/>
        </w:rPr>
        <w:t xml:space="preserve">AA2 Adaptive Advantage Laboratories, S.A. — Panama</w:t>
      </w:r>
    </w:p>
    <w:p>
      <w:pPr>
        <w:spacing w:after="80" w:before="0"/>
        <w:jc w:val="center"/>
      </w:pPr>
      <w:r>
        <w:rPr>
          <w:rFonts w:ascii="Arial" w:cs="Arial" w:eastAsia="Arial" w:hAnsi="Arial"/>
          <w:i/>
          <w:iCs/>
          <w:color w:val="888899"/>
          <w:sz w:val="22"/>
          <w:szCs w:val="22"/>
        </w:rPr>
        <w:t xml:space="preserve">Applied Biosignal Scientist | Field Creator of Applied Biosignal Science</w:t>
      </w:r>
    </w:p>
    <w:p>
      <w:pPr>
        <w:spacing w:after="720" w:before="0"/>
        <w:jc w:val="center"/>
      </w:pPr>
      <w:r>
        <w:rPr>
          <w:rFonts w:ascii="Arial" w:cs="Arial" w:eastAsia="Arial" w:hAnsi="Arial"/>
          <w:color w:val="1A5276"/>
          <w:sz w:val="22"/>
          <w:szCs w:val="22"/>
        </w:rPr>
        <w:t xml:space="preserve">github.com/AA2LABS/aa2-scan</w:t>
      </w:r>
    </w:p>
    <w:p>
      <w:r>
        <w:br w:type="page"/>
      </w:r>
    </w:p>
    <w:p>
      <w:pPr>
        <w:pStyle w:val="Heading1"/>
        <w:spacing w:after="120" w:before="400"/>
      </w:pPr>
      <w:r>
        <w:rPr>
          <w:rFonts w:ascii="Arial" w:cs="Arial" w:eastAsia="Arial" w:hAnsi="Arial"/>
          <w:b/>
          <w:bCs/>
          <w:color w:val="0A0A0F"/>
          <w:sz w:val="32"/>
          <w:szCs w:val="32"/>
        </w:rPr>
        <w:t xml:space="preserve">WHAT IS NEW IN CANON V7</w:t>
      </w:r>
    </w:p>
    <w:p>
      <w:pPr>
        <w:spacing w:after="60" w:before="60"/>
      </w:pPr>
      <w:r>
        <w:rPr>
          <w:rFonts w:ascii="Arial" w:cs="Arial" w:eastAsia="Arial" w:hAnsi="Arial"/>
          <w:color w:val="444455"/>
          <w:sz w:val="22"/>
          <w:szCs w:val="22"/>
        </w:rPr>
        <w:t xml:space="preserve">Canon v7 is the first version to document the complete AA2 SCAN five-tab architecture AND the full Allergy &amp; Life Scanner doctrine. Everything from the March 9, 2026 session is locked here.</w:t>
      </w:r>
    </w:p>
    <w:p>
      <w:pPr>
        <w:pStyle w:val="ListParagraph"/>
        <w:numPr>
          <w:ilvl w:val="0"/>
          <w:numId w:val="2"/>
        </w:numPr>
        <w:spacing w:after="40" w:before="40"/>
      </w:pPr>
      <w:r>
        <w:rPr>
          <w:rFonts w:ascii="Arial" w:cs="Arial" w:eastAsia="Arial" w:hAnsi="Arial"/>
          <w:color w:val="444455"/>
          <w:sz w:val="22"/>
          <w:szCs w:val="22"/>
        </w:rPr>
        <w:t xml:space="preserve">Allergy &amp; Life Scanner — complete doctrine as a foundational intelligence layer</w:t>
      </w:r>
    </w:p>
    <w:p>
      <w:pPr>
        <w:pStyle w:val="ListParagraph"/>
        <w:numPr>
          <w:ilvl w:val="0"/>
          <w:numId w:val="2"/>
        </w:numPr>
        <w:spacing w:after="40" w:before="40"/>
      </w:pPr>
      <w:r>
        <w:rPr>
          <w:rFonts w:ascii="Arial" w:cs="Arial" w:eastAsia="Arial" w:hAnsi="Arial"/>
          <w:color w:val="444455"/>
          <w:sz w:val="22"/>
          <w:szCs w:val="22"/>
        </w:rPr>
        <w:t xml:space="preserve">Chemical Doctrine — foundational law locked with five principles</w:t>
      </w:r>
    </w:p>
    <w:p>
      <w:pPr>
        <w:pStyle w:val="ListParagraph"/>
        <w:numPr>
          <w:ilvl w:val="0"/>
          <w:numId w:val="2"/>
        </w:numPr>
        <w:spacing w:after="40" w:before="40"/>
      </w:pPr>
      <w:r>
        <w:rPr>
          <w:rFonts w:ascii="Arial" w:cs="Arial" w:eastAsia="Arial" w:hAnsi="Arial"/>
          <w:color w:val="444455"/>
          <w:sz w:val="22"/>
          <w:szCs w:val="22"/>
        </w:rPr>
        <w:t xml:space="preserve">AA2 Stack Visual Map — seven-layer architecture from device to intent</w:t>
      </w:r>
    </w:p>
    <w:p>
      <w:pPr>
        <w:pStyle w:val="ListParagraph"/>
        <w:numPr>
          <w:ilvl w:val="0"/>
          <w:numId w:val="2"/>
        </w:numPr>
        <w:spacing w:after="40" w:before="40"/>
      </w:pPr>
      <w:r>
        <w:rPr>
          <w:rFonts w:ascii="Arial" w:cs="Arial" w:eastAsia="Arial" w:hAnsi="Arial"/>
          <w:color w:val="444455"/>
          <w:sz w:val="22"/>
          <w:szCs w:val="22"/>
        </w:rPr>
        <w:t xml:space="preserve">Nine Onboarding Stories — canonical teaching series locked</w:t>
      </w:r>
    </w:p>
    <w:p>
      <w:pPr>
        <w:pStyle w:val="ListParagraph"/>
        <w:numPr>
          <w:ilvl w:val="0"/>
          <w:numId w:val="2"/>
        </w:numPr>
        <w:spacing w:after="40" w:before="40"/>
      </w:pPr>
      <w:r>
        <w:rPr>
          <w:rFonts w:ascii="Arial" w:cs="Arial" w:eastAsia="Arial" w:hAnsi="Arial"/>
          <w:color w:val="444455"/>
          <w:sz w:val="22"/>
          <w:szCs w:val="22"/>
        </w:rPr>
        <w:t xml:space="preserve">Five-Tab App Architecture — complete comparison table</w:t>
      </w:r>
    </w:p>
    <w:p>
      <w:pPr>
        <w:pStyle w:val="ListParagraph"/>
        <w:numPr>
          <w:ilvl w:val="0"/>
          <w:numId w:val="2"/>
        </w:numPr>
        <w:spacing w:after="40" w:before="40"/>
      </w:pPr>
      <w:r>
        <w:rPr>
          <w:rFonts w:ascii="Arial" w:cs="Arial" w:eastAsia="Arial" w:hAnsi="Arial"/>
          <w:color w:val="444455"/>
          <w:sz w:val="22"/>
          <w:szCs w:val="22"/>
        </w:rPr>
        <w:t xml:space="preserve">Produce Vision Scanner Doctrine — ripeness stages, bruise science, storage</w:t>
      </w:r>
    </w:p>
    <w:p>
      <w:pPr>
        <w:pStyle w:val="ListParagraph"/>
        <w:numPr>
          <w:ilvl w:val="0"/>
          <w:numId w:val="2"/>
        </w:numPr>
        <w:spacing w:after="40" w:before="40"/>
      </w:pPr>
      <w:r>
        <w:rPr>
          <w:rFonts w:ascii="Arial" w:cs="Arial" w:eastAsia="Arial" w:hAnsi="Arial"/>
          <w:color w:val="444455"/>
          <w:sz w:val="22"/>
          <w:szCs w:val="22"/>
        </w:rPr>
        <w:t xml:space="preserve">Meat Scanner + CO₂/MAP Detection Doctrine — most important safety layer in app</w:t>
      </w:r>
    </w:p>
    <w:p>
      <w:pPr>
        <w:pStyle w:val="ListParagraph"/>
        <w:numPr>
          <w:ilvl w:val="0"/>
          <w:numId w:val="2"/>
        </w:numPr>
        <w:spacing w:after="40" w:before="40"/>
      </w:pPr>
      <w:r>
        <w:rPr>
          <w:rFonts w:ascii="Arial" w:cs="Arial" w:eastAsia="Arial" w:hAnsi="Arial"/>
          <w:color w:val="444455"/>
          <w:sz w:val="22"/>
          <w:szCs w:val="22"/>
        </w:rPr>
        <w:t xml:space="preserve">Personal Care Skin &amp; Scalp Doctrine — Skin Ingestion Tier system, EU CosIng</w:t>
      </w:r>
    </w:p>
    <w:p>
      <w:pPr>
        <w:pStyle w:val="ListParagraph"/>
        <w:numPr>
          <w:ilvl w:val="0"/>
          <w:numId w:val="2"/>
        </w:numPr>
        <w:spacing w:after="40" w:before="40"/>
      </w:pPr>
      <w:r>
        <w:rPr>
          <w:rFonts w:ascii="Arial" w:cs="Arial" w:eastAsia="Arial" w:hAnsi="Arial"/>
          <w:color w:val="444455"/>
          <w:sz w:val="22"/>
          <w:szCs w:val="22"/>
        </w:rPr>
        <w:t xml:space="preserve">ON GRID / OFF GRID Architecture — exactly where Maps and Geofencing live</w:t>
      </w:r>
    </w:p>
    <w:p>
      <w:pPr>
        <w:pStyle w:val="ListParagraph"/>
        <w:numPr>
          <w:ilvl w:val="0"/>
          <w:numId w:val="2"/>
        </w:numPr>
        <w:spacing w:after="40" w:before="40"/>
      </w:pPr>
      <w:r>
        <w:rPr>
          <w:rFonts w:ascii="Arial" w:cs="Arial" w:eastAsia="Arial" w:hAnsi="Arial"/>
          <w:color w:val="444455"/>
          <w:sz w:val="22"/>
          <w:szCs w:val="22"/>
        </w:rPr>
        <w:t xml:space="preserve">Google Maps API key obtained March 9, 2026</w:t>
      </w:r>
    </w:p>
    <w:p>
      <w:pPr>
        <w:pStyle w:val="ListParagraph"/>
        <w:numPr>
          <w:ilvl w:val="0"/>
          <w:numId w:val="2"/>
        </w:numPr>
        <w:spacing w:after="40" w:before="40"/>
      </w:pPr>
      <w:r>
        <w:rPr>
          <w:rFonts w:ascii="Arial" w:cs="Arial" w:eastAsia="Arial" w:hAnsi="Arial"/>
          <w:color w:val="444455"/>
          <w:sz w:val="22"/>
          <w:szCs w:val="22"/>
        </w:rPr>
        <w:t xml:space="preserve">14 Canon Locked Statements sealed</w:t>
      </w:r>
    </w:p>
    <w:p>
      <w:pPr>
        <w:pBdr>
          <w:bottom w:val="single" w:color="DDDDDD" w:sz="4"/>
        </w:pBdr>
        <w:spacing w:after="200" w:before="200"/>
      </w:pPr>
      <w:r>
        <w:t xml:space="preserve"/>
      </w:r>
    </w:p>
    <w:p>
      <w:pPr>
        <w:pStyle w:val="Heading1"/>
        <w:spacing w:after="120" w:before="400"/>
      </w:pPr>
      <w:r>
        <w:rPr>
          <w:rFonts w:ascii="Arial" w:cs="Arial" w:eastAsia="Arial" w:hAnsi="Arial"/>
          <w:b/>
          <w:bCs/>
          <w:color w:val="0A0A0F"/>
          <w:sz w:val="32"/>
          <w:szCs w:val="32"/>
        </w:rPr>
        <w:t xml:space="preserve">I. IDENTITY &amp;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Founder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James R. Pitts II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Company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AA2 Adaptive Advantage Laboratories, S.A. (Panama)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Applied Biosignal Scientist | Field Creator of Applied Biosignal Science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AA2 — Adaptive Advantage 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Mission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Each user is their own living laboratory — their own personal development science project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Architecture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Permission-based, user-sovereign, spoke-and-hub BioMesh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GitHub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github.com/AA2LABS/aa2-scan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Expo Account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aa2founder@gmail.com | aa2labs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Legal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ARIFA | mdelbusto@arifa.com</w:t>
            </w:r>
          </w:p>
        </w:tc>
      </w:tr>
    </w:tbl>
    <w:p>
      <w:pPr>
        <w:pBdr>
          <w:bottom w:val="single" w:color="DDDDDD" w:sz="4"/>
        </w:pBdr>
        <w:spacing w:after="200" w:before="200"/>
      </w:pPr>
      <w:r>
        <w:t xml:space="preserve"/>
      </w:r>
    </w:p>
    <w:p>
      <w:pPr>
        <w:pStyle w:val="Heading1"/>
        <w:spacing w:after="120" w:before="400"/>
      </w:pPr>
      <w:r>
        <w:rPr>
          <w:rFonts w:ascii="Arial" w:cs="Arial" w:eastAsia="Arial" w:hAnsi="Arial"/>
          <w:b/>
          <w:bCs/>
          <w:color w:val="0A0A0F"/>
          <w:sz w:val="32"/>
          <w:szCs w:val="32"/>
        </w:rPr>
        <w:t xml:space="preserve">II. THE BIOMESH WHEEL DOCTRINE</w:t>
      </w:r>
    </w:p>
    <w:p>
      <w:pPr>
        <w:spacing w:after="60" w:before="60"/>
      </w:pPr>
      <w:r>
        <w:rPr>
          <w:rFonts w:ascii="Arial" w:cs="Arial" w:eastAsia="Arial" w:hAnsi="Arial"/>
          <w:color w:val="444455"/>
          <w:sz w:val="22"/>
          <w:szCs w:val="22"/>
        </w:rPr>
        <w:t xml:space="preserve">AA2 architecture is a bicycle wheel. The hub is the human. Every spoke is a feature, system, or layer. Spokes connect to the human — not to each other. Under tension, the whole wheel becomes one.</w:t>
      </w:r>
    </w:p>
    <w:p>
      <w:pPr>
        <w:pBdr>
          <w:left w:val="thick" w:color="00875A" w:sz="8"/>
        </w:pBdr>
        <w:shd w:fill="F0FFF8" w:val="clear"/>
        <w:spacing w:after="140" w:before="140"/>
        <w:ind w:left="360"/>
      </w:pPr>
      <w:r>
        <w:rPr>
          <w:rFonts w:ascii="Arial" w:cs="Arial" w:eastAsia="Arial" w:hAnsi="Arial"/>
          <w:b/>
          <w:bCs/>
          <w:i/>
          <w:iCs/>
          <w:color w:val="00875A"/>
          <w:sz w:val="22"/>
          <w:szCs w:val="22"/>
        </w:rPr>
        <w:t xml:space="preserve">🔒 "The spokes don't connect to each other. They connect to you. But under tension — the whole wheel becomes one."</w:t>
      </w:r>
    </w:p>
    <w:p>
      <w:pPr>
        <w:pStyle w:val="Heading2"/>
        <w:spacing w:after="80" w:before="240"/>
      </w:pPr>
      <w:r>
        <w:rPr>
          <w:rFonts w:ascii="Arial" w:cs="Arial" w:eastAsia="Arial" w:hAnsi="Arial"/>
          <w:b/>
          <w:bCs/>
          <w:color w:val="1A5276"/>
          <w:sz w:val="26"/>
          <w:szCs w:val="26"/>
        </w:rPr>
        <w:t xml:space="preserve">Truing Up</w:t>
      </w:r>
    </w:p>
    <w:p>
      <w:pPr>
        <w:spacing w:after="60" w:before="60"/>
      </w:pPr>
      <w:r>
        <w:rPr>
          <w:rFonts w:ascii="Arial" w:cs="Arial" w:eastAsia="Arial" w:hAnsi="Arial"/>
          <w:color w:val="444455"/>
          <w:sz w:val="22"/>
          <w:szCs w:val="22"/>
        </w:rPr>
        <w:t xml:space="preserve">A wheel out of true does not blow out — it wobbles quietly. AA2 notices before you do. Not a correction. Not a punishment. A realignment.</w:t>
      </w:r>
    </w:p>
    <w:p>
      <w:pPr>
        <w:pBdr>
          <w:left w:val="thick" w:color="00875A" w:sz="8"/>
        </w:pBdr>
        <w:shd w:fill="F0FFF8" w:val="clear"/>
        <w:spacing w:after="140" w:before="140"/>
        <w:ind w:left="360"/>
      </w:pPr>
      <w:r>
        <w:rPr>
          <w:rFonts w:ascii="Arial" w:cs="Arial" w:eastAsia="Arial" w:hAnsi="Arial"/>
          <w:b/>
          <w:bCs/>
          <w:i/>
          <w:iCs/>
          <w:color w:val="00875A"/>
          <w:sz w:val="22"/>
          <w:szCs w:val="22"/>
        </w:rPr>
        <w:t xml:space="preserve">🔒 "Drift is inevitable. Truing is the practice. AA2 is the mechanic."</w:t>
      </w:r>
    </w:p>
    <w:p>
      <w:pPr>
        <w:pBdr>
          <w:left w:val="thick" w:color="00875A" w:sz="8"/>
        </w:pBdr>
        <w:shd w:fill="F0FFF8" w:val="clear"/>
        <w:spacing w:after="140" w:before="140"/>
        <w:ind w:left="360"/>
      </w:pPr>
      <w:r>
        <w:rPr>
          <w:rFonts w:ascii="Arial" w:cs="Arial" w:eastAsia="Arial" w:hAnsi="Arial"/>
          <w:b/>
          <w:bCs/>
          <w:i/>
          <w:iCs/>
          <w:color w:val="00875A"/>
          <w:sz w:val="22"/>
          <w:szCs w:val="22"/>
        </w:rPr>
        <w:t xml:space="preserve">🔒 "Disruption is inevitable. Drift is optional."</w:t>
      </w:r>
    </w:p>
    <w:p>
      <w:pPr>
        <w:pBdr>
          <w:bottom w:val="single" w:color="DDDDDD" w:sz="4"/>
        </w:pBdr>
        <w:spacing w:after="200" w:before="200"/>
      </w:pPr>
      <w:r>
        <w:t xml:space="preserve"/>
      </w:r>
    </w:p>
    <w:p>
      <w:r>
        <w:br w:type="page"/>
      </w:r>
    </w:p>
    <w:p>
      <w:pPr>
        <w:pStyle w:val="Heading1"/>
        <w:spacing w:after="120" w:before="400"/>
      </w:pPr>
      <w:r>
        <w:rPr>
          <w:rFonts w:ascii="Arial" w:cs="Arial" w:eastAsia="Arial" w:hAnsi="Arial"/>
          <w:b/>
          <w:bCs/>
          <w:color w:val="0A0A0F"/>
          <w:sz w:val="32"/>
          <w:szCs w:val="32"/>
        </w:rPr>
        <w:t xml:space="preserve">III. THE AA2 ALLERGY &amp; LIFE SCANNER</w:t>
      </w:r>
    </w:p>
    <w:p>
      <w:pPr>
        <w:spacing w:after="120" w:before="60"/>
      </w:pPr>
      <w:r>
        <w:rPr>
          <w:rFonts w:ascii="Arial" w:cs="Arial" w:eastAsia="Arial" w:hAnsi="Arial"/>
          <w:b/>
          <w:bCs/>
          <w:i/>
          <w:iCs/>
          <w:color w:val="1A5276"/>
          <w:sz w:val="24"/>
          <w:szCs w:val="24"/>
        </w:rPr>
        <w:t xml:space="preserve">A Human + Canine Safety, Learning, and Alignment System</w:t>
      </w:r>
    </w:p>
    <w:p>
      <w:pPr>
        <w:pStyle w:val="Heading2"/>
        <w:spacing w:after="80" w:before="240"/>
      </w:pPr>
      <w:r>
        <w:rPr>
          <w:rFonts w:ascii="Arial" w:cs="Arial" w:eastAsia="Arial" w:hAnsi="Arial"/>
          <w:b/>
          <w:bCs/>
          <w:color w:val="1A5276"/>
          <w:sz w:val="26"/>
          <w:szCs w:val="26"/>
        </w:rPr>
        <w:t xml:space="preserve">What the Allergy Scanner Actually Is</w:t>
      </w:r>
    </w:p>
    <w:p>
      <w:pPr>
        <w:spacing w:after="60" w:before="60"/>
      </w:pPr>
      <w:r>
        <w:rPr>
          <w:rFonts w:ascii="Arial" w:cs="Arial" w:eastAsia="Arial" w:hAnsi="Arial"/>
          <w:color w:val="444455"/>
          <w:sz w:val="22"/>
          <w:szCs w:val="22"/>
        </w:rPr>
        <w:t xml:space="preserve">The AA2 Allergy Scanner is a real-world decision filter. It sits before purchase, consumption, exposure, travel, care decisions, training, and trust. It answers one core question in real time:</w:t>
      </w:r>
    </w:p>
    <w:p>
      <w:pPr>
        <w:spacing w:after="120" w:before="120"/>
        <w:ind w:left="720"/>
      </w:pPr>
      <w:r>
        <w:rPr>
          <w:rFonts w:ascii="Arial" w:cs="Arial" w:eastAsia="Arial" w:hAnsi="Arial"/>
          <w:b/>
          <w:bCs/>
          <w:i/>
          <w:iCs/>
          <w:color w:val="00875A"/>
          <w:sz w:val="24"/>
          <w:szCs w:val="24"/>
        </w:rPr>
        <w:t xml:space="preserve">"Is this safe, aligned, and appropriate for this human or animal — right now?"</w:t>
      </w:r>
    </w:p>
    <w:p>
      <w:pPr>
        <w:spacing w:after="60" w:before="60"/>
      </w:pPr>
      <w:r>
        <w:rPr>
          <w:rFonts w:ascii="Arial" w:cs="Arial" w:eastAsia="Arial" w:hAnsi="Arial"/>
          <w:color w:val="444455"/>
          <w:sz w:val="22"/>
          <w:szCs w:val="22"/>
        </w:rPr>
        <w:t xml:space="preserve">It answers that question using: ingredient truth, environmental exposure, biosignal history, stated goals, learned sensitivities, age, role, and context.</w:t>
      </w:r>
    </w:p>
    <w:p>
      <w:pPr>
        <w:spacing w:after="60" w:before="60"/>
      </w:pPr>
      <w:r>
        <w:rPr>
          <w:rFonts w:ascii="Arial" w:cs="Arial" w:eastAsia="Arial" w:hAnsi="Arial"/>
          <w:color w:val="444455"/>
          <w:sz w:val="22"/>
          <w:szCs w:val="22"/>
        </w:rPr>
        <w:t xml:space="preserve">This is not a food scanner. It is a life-contact scanner.</w:t>
      </w:r>
    </w:p>
    <w:p>
      <w:pPr>
        <w:pStyle w:val="Heading2"/>
        <w:spacing w:after="80" w:before="240"/>
      </w:pPr>
      <w:r>
        <w:rPr>
          <w:rFonts w:ascii="Arial" w:cs="Arial" w:eastAsia="Arial" w:hAnsi="Arial"/>
          <w:b/>
          <w:bCs/>
          <w:color w:val="1A5276"/>
          <w:sz w:val="26"/>
          <w:szCs w:val="26"/>
        </w:rPr>
        <w:t xml:space="preserve">What Makes It Unmatched</w:t>
      </w:r>
    </w:p>
    <w:p>
      <w:pPr>
        <w:spacing w:after="60" w:before="60"/>
      </w:pPr>
      <w:r>
        <w:rPr>
          <w:rFonts w:ascii="Arial" w:cs="Arial" w:eastAsia="Arial" w:hAnsi="Arial"/>
          <w:color w:val="444455"/>
          <w:sz w:val="22"/>
          <w:szCs w:val="22"/>
        </w:rPr>
        <w:t xml:space="preserve">No competitor links chemicals to biosignals, spans humans and animals, teaches children language through survival relevance, integrates safety with purchasing decisions, respects consent and context, or operates before damage. Everyone else tracks after damage. AA2 filters before contact.</w:t>
      </w:r>
    </w:p>
    <w:p>
      <w:pPr>
        <w:pBdr>
          <w:left w:val="thick" w:color="00875A" w:sz="8"/>
        </w:pBdr>
        <w:shd w:fill="F0FFF8" w:val="clear"/>
        <w:spacing w:after="140" w:before="140"/>
        <w:ind w:left="360"/>
      </w:pPr>
      <w:r>
        <w:rPr>
          <w:rFonts w:ascii="Arial" w:cs="Arial" w:eastAsia="Arial" w:hAnsi="Arial"/>
          <w:b/>
          <w:bCs/>
          <w:i/>
          <w:iCs/>
          <w:color w:val="00875A"/>
          <w:sz w:val="22"/>
          <w:szCs w:val="22"/>
        </w:rPr>
        <w:t xml:space="preserve">🔒 "Everyone else tracks after damage. AA2 filters before contact."</w:t>
      </w:r>
    </w:p>
    <w:p>
      <w:pPr>
        <w:pStyle w:val="Heading2"/>
        <w:spacing w:after="80" w:before="240"/>
      </w:pPr>
      <w:r>
        <w:rPr>
          <w:rFonts w:ascii="Arial" w:cs="Arial" w:eastAsia="Arial" w:hAnsi="Arial"/>
          <w:b/>
          <w:bCs/>
          <w:color w:val="1A5276"/>
          <w:sz w:val="26"/>
          <w:szCs w:val="26"/>
        </w:rPr>
        <w:t xml:space="preserve">Who It Serves — Complete User Map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A3D2A" w:val="clear"/>
            <w:tcMar>
              <w:top w:type="dxa" w:w="80"/>
              <w:left w:type="dxa" w:w="120"/>
              <w:bottom w:type="dxa" w:w="80"/>
              <w:right w:type="dxa" w:w="120"/>
            </w:tcMar>
          </w:tcPr>
          <w:p>
            <w:r>
              <w:rPr>
                <w:rFonts w:ascii="Arial" w:cs="Arial" w:eastAsia="Arial" w:hAnsi="Arial"/>
                <w:b/>
                <w:bCs/>
                <w:color w:val="FFFFFF"/>
                <w:sz w:val="18"/>
                <w:szCs w:val="18"/>
              </w:rPr>
              <w:t xml:space="preserve">USER TYPE</w:t>
            </w:r>
          </w:p>
        </w:tc>
        <w:tc>
          <w:tcPr>
            <w:tcW w:type="dxa" w:w="7160"/>
            <w:tcBorders>
              <w:top w:val="single" w:color="CCCCCC" w:sz="1"/>
              <w:left w:val="single" w:color="CCCCCC" w:sz="1"/>
              <w:bottom w:val="single" w:color="CCCCCC" w:sz="1"/>
              <w:right w:val="single" w:color="CCCCCC" w:sz="1"/>
            </w:tcBorders>
            <w:shd w:fill="0A3D2A" w:val="clear"/>
            <w:tcMar>
              <w:top w:type="dxa" w:w="80"/>
              <w:left w:type="dxa" w:w="120"/>
              <w:bottom w:type="dxa" w:w="80"/>
              <w:right w:type="dxa" w:w="120"/>
            </w:tcMar>
          </w:tcPr>
          <w:p>
            <w:r>
              <w:rPr>
                <w:rFonts w:ascii="Arial" w:cs="Arial" w:eastAsia="Arial" w:hAnsi="Arial"/>
                <w:b/>
                <w:bCs/>
                <w:color w:val="FFFFFF"/>
                <w:sz w:val="18"/>
                <w:szCs w:val="18"/>
              </w:rPr>
              <w:t xml:space="preserve">WHAT THE SCANNER DOES FOR THEM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18"/>
                <w:szCs w:val="18"/>
              </w:rPr>
              <w:t xml:space="preserve">PARENTS &amp; CHILDREN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18"/>
                <w:szCs w:val="18"/>
              </w:rPr>
              <w:t xml:space="preserve">Grocery scanning, school lunches, language learning through ingredients, international travel, cultural food confidence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18"/>
                <w:szCs w:val="18"/>
              </w:rPr>
              <w:t xml:space="preserve">YOUNG ADULTS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18"/>
                <w:szCs w:val="18"/>
              </w:rPr>
              <w:t xml:space="preserve">Dorm food, dating, parties, supplements, gym nutrition, alcohol interactions — agency without parental oversight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18"/>
                <w:szCs w:val="18"/>
              </w:rPr>
              <w:t xml:space="preserve">RIDESHARE &amp; PUBLIC SAFETY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18"/>
                <w:szCs w:val="18"/>
              </w:rPr>
              <w:t xml:space="preserve">Environment inconsistency alerts, stress biosignal monitoring, early awareness — not fear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18"/>
                <w:szCs w:val="18"/>
              </w:rPr>
              <w:t xml:space="preserve">FOOD &amp; SOCIAL EXPOSURE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18"/>
                <w:szCs w:val="18"/>
              </w:rPr>
              <w:t xml:space="preserve">Scans drinks, shared food, supplements. Remembers how the body reacts, how fast symptoms escalate, which exposures were delayed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18"/>
                <w:szCs w:val="18"/>
              </w:rPr>
              <w:t xml:space="preserve">PETS &amp; CANINES (CIVILIAN)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18"/>
                <w:szCs w:val="18"/>
              </w:rPr>
              <w:t xml:space="preserve">Pet food, treats, medications, household cleaners, parks, travel locations — preventative veterinary intelligence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18"/>
                <w:szCs w:val="18"/>
              </w:rPr>
              <w:t xml:space="preserve">WORKING &amp; TACTICAL K9</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18"/>
                <w:szCs w:val="18"/>
              </w:rPr>
              <w:t xml:space="preserve">Food consistency, supplement interactions, environmental exposure, handler stress transfer — mission readiness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18"/>
                <w:szCs w:val="18"/>
              </w:rPr>
              <w:t xml:space="preserve">TACTICAL / CIVILIAN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18"/>
                <w:szCs w:val="18"/>
              </w:rPr>
              <w:t xml:space="preserve">Operational nutrition, stress management, environmental exposure, contamination awareness, endurance planning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18"/>
                <w:szCs w:val="18"/>
              </w:rPr>
              <w:t xml:space="preserve">HIGH-NET-WORTH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18"/>
                <w:szCs w:val="18"/>
              </w:rPr>
              <w:t xml:space="preserve">Quiet protection, delegated intelligence, family safety, staff environments, travel alignment — invisible, effortless, accumulative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18"/>
                <w:szCs w:val="18"/>
              </w:rPr>
              <w:t xml:space="preserve">VETERINARIANS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18"/>
                <w:szCs w:val="18"/>
              </w:rPr>
              <w:t xml:space="preserve">With consent: food history, exposure trends, behavior changes, stress indicators — shortens diagnosis time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18"/>
                <w:szCs w:val="18"/>
              </w:rPr>
              <w:t xml:space="preserve">PHYSICIANS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18"/>
                <w:szCs w:val="18"/>
              </w:rPr>
              <w:t xml:space="preserve">Exposure logs, biosignal trends, nutrition consistency, environmental triggers — structured insight, not raw chaos</w:t>
            </w:r>
          </w:p>
        </w:tc>
      </w:tr>
    </w:tbl>
    <w:p>
      <w:pPr>
        <w:spacing w:after="0" w:before="120"/>
      </w:pPr>
      <w:r>
        <w:t xml:space="preserve"/>
      </w:r>
    </w:p>
    <w:p>
      <w:pPr>
        <w:pStyle w:val="Heading2"/>
        <w:spacing w:after="80" w:before="240"/>
      </w:pPr>
      <w:r>
        <w:rPr>
          <w:rFonts w:ascii="Arial" w:cs="Arial" w:eastAsia="Arial" w:hAnsi="Arial"/>
          <w:b/>
          <w:bCs/>
          <w:color w:val="1A5276"/>
          <w:sz w:val="26"/>
          <w:szCs w:val="26"/>
        </w:rPr>
        <w:t xml:space="preserve">Parents &amp; Children — Specific Capabilities</w:t>
      </w:r>
    </w:p>
    <w:p>
      <w:pPr>
        <w:spacing w:after="60" w:before="180"/>
      </w:pPr>
      <w:r>
        <w:rPr>
          <w:rFonts w:ascii="Arial" w:cs="Arial" w:eastAsia="Arial" w:hAnsi="Arial"/>
          <w:b/>
          <w:bCs/>
          <w:color w:val="00875A"/>
          <w:sz w:val="22"/>
          <w:szCs w:val="22"/>
        </w:rPr>
        <w:t xml:space="preserve">Grocery &amp; Product Purchases</w:t>
      </w:r>
    </w:p>
    <w:p>
      <w:pPr>
        <w:spacing w:after="60" w:before="60"/>
      </w:pPr>
      <w:r>
        <w:rPr>
          <w:rFonts w:ascii="Arial" w:cs="Arial" w:eastAsia="Arial" w:hAnsi="Arial"/>
          <w:color w:val="444455"/>
          <w:sz w:val="22"/>
          <w:szCs w:val="22"/>
        </w:rPr>
        <w:t xml:space="preserve">Parents scan food, snacks, baby products, school lunches, medications, and hygiene items. The scanner flags allergens — known and emerging. Detects ingredient patterns, not just labels. Recognizes cumulative exposure across 30-day windows. Warns against hidden cross-contaminants. Translates chemical names into plain language.</w:t>
      </w:r>
    </w:p>
    <w:p>
      <w:pPr>
        <w:spacing w:after="60" w:before="60"/>
      </w:pPr>
      <w:r>
        <w:rPr>
          <w:rFonts w:ascii="Arial" w:cs="Arial" w:eastAsia="Arial" w:hAnsi="Arial"/>
          <w:color w:val="444455"/>
          <w:sz w:val="22"/>
          <w:szCs w:val="22"/>
        </w:rPr>
        <w:t xml:space="preserve">Instead of: "Contains trace amounts of X." Parents see: "This may elevate inflammation and disrupt sleep based on your child's last 30 days."</w:t>
      </w:r>
    </w:p>
    <w:p>
      <w:pPr>
        <w:spacing w:after="60" w:before="180"/>
      </w:pPr>
      <w:r>
        <w:rPr>
          <w:rFonts w:ascii="Arial" w:cs="Arial" w:eastAsia="Arial" w:hAnsi="Arial"/>
          <w:b/>
          <w:bCs/>
          <w:color w:val="00875A"/>
          <w:sz w:val="22"/>
          <w:szCs w:val="22"/>
        </w:rPr>
        <w:t xml:space="preserve">Language Learning Through Survival Relevance</w:t>
      </w:r>
    </w:p>
    <w:p>
      <w:pPr>
        <w:spacing w:after="60" w:before="60"/>
      </w:pPr>
      <w:r>
        <w:rPr>
          <w:rFonts w:ascii="Arial" w:cs="Arial" w:eastAsia="Arial" w:hAnsi="Arial"/>
          <w:color w:val="444455"/>
          <w:sz w:val="22"/>
          <w:szCs w:val="22"/>
        </w:rPr>
        <w:t xml:space="preserve">When a child scans food labels abroad, menus, or packaging, the scanner translates ingredients and explains why something matters — associating words with bodily response. This creates faster retention through emotional anchoring. A child doesn't just learn Spanish or French. They learn meaning tied to self-protection. That sticks.</w:t>
      </w:r>
    </w:p>
    <w:p>
      <w:pPr>
        <w:pStyle w:val="Heading2"/>
        <w:spacing w:after="80" w:before="240"/>
      </w:pPr>
      <w:r>
        <w:rPr>
          <w:rFonts w:ascii="Arial" w:cs="Arial" w:eastAsia="Arial" w:hAnsi="Arial"/>
          <w:b/>
          <w:bCs/>
          <w:color w:val="1A5276"/>
          <w:sz w:val="26"/>
          <w:szCs w:val="26"/>
        </w:rPr>
        <w:t xml:space="preserve">Retail &amp; Veterinary Integration</w:t>
      </w:r>
    </w:p>
    <w:p>
      <w:pPr>
        <w:spacing w:after="60" w:before="60"/>
      </w:pPr>
      <w:r>
        <w:rPr>
          <w:rFonts w:ascii="Arial" w:cs="Arial" w:eastAsia="Arial" w:hAnsi="Arial"/>
          <w:color w:val="444455"/>
          <w:sz w:val="22"/>
          <w:szCs w:val="22"/>
        </w:rPr>
        <w:t xml:space="preserve">Pre-purchase intelligence: scan shelf items, auto-filter unsafe options, suggest aligned alternatives, factor budget and health and goals. Retailers benefit: fewer returns, higher trust, better loyalty, reduced liability.</w:t>
      </w:r>
    </w:p>
    <w:p>
      <w:pPr>
        <w:spacing w:after="60" w:before="60"/>
      </w:pPr>
      <w:r>
        <w:rPr>
          <w:rFonts w:ascii="Arial" w:cs="Arial" w:eastAsia="Arial" w:hAnsi="Arial"/>
          <w:color w:val="444455"/>
          <w:sz w:val="22"/>
          <w:szCs w:val="22"/>
        </w:rPr>
        <w:t xml:space="preserve">Veterinary sharing (opt-in, always): vets see food history, exposure trends, behavior changes, and stress indicators. Shortens diagnosis time. Improves outcomes. Reduces invasive testing.</w:t>
      </w:r>
    </w:p>
    <w:p>
      <w:pPr>
        <w:spacing w:after="60" w:before="60"/>
      </w:pPr>
      <w:r>
        <w:rPr>
          <w:rFonts w:ascii="Arial" w:cs="Arial" w:eastAsia="Arial" w:hAnsi="Arial"/>
          <w:color w:val="444455"/>
          <w:sz w:val="22"/>
          <w:szCs w:val="22"/>
        </w:rPr>
        <w:t xml:space="preserve">Physician sharing (opt-in, always): humans share biosignal trends, exposure logs, nutrition consistency, environmental triggers. Not raw chaos — structured insight. Doctors stop guessing. They start confirming.</w:t>
      </w:r>
    </w:p>
    <w:p>
      <w:pPr>
        <w:pStyle w:val="Heading2"/>
        <w:spacing w:after="80" w:before="240"/>
      </w:pPr>
      <w:r>
        <w:rPr>
          <w:rFonts w:ascii="Arial" w:cs="Arial" w:eastAsia="Arial" w:hAnsi="Arial"/>
          <w:b/>
          <w:bCs/>
          <w:color w:val="1A5276"/>
          <w:sz w:val="26"/>
          <w:szCs w:val="26"/>
        </w:rPr>
        <w:t xml:space="preserve">The Long Game — Bios, Health, Goals &amp; Alignment</w:t>
      </w:r>
    </w:p>
    <w:p>
      <w:pPr>
        <w:spacing w:after="60" w:before="60"/>
      </w:pPr>
      <w:r>
        <w:rPr>
          <w:rFonts w:ascii="Arial" w:cs="Arial" w:eastAsia="Arial" w:hAnsi="Arial"/>
          <w:color w:val="444455"/>
          <w:sz w:val="22"/>
          <w:szCs w:val="22"/>
        </w:rPr>
        <w:t xml:space="preserve">The scanner doesn't just say: Avoid this. It says: This conflicts with where you said you're going. Health becomes cumulative, intentional, aligned with future goals. Weight loss. Longevity. Focus. Recovery. Legacy. Small decisions don't become big regrets.</w:t>
      </w:r>
    </w:p>
    <w:p>
      <w:pPr>
        <w:pBdr>
          <w:left w:val="thick" w:color="00875A" w:sz="8"/>
        </w:pBdr>
        <w:shd w:fill="F0FFF8" w:val="clear"/>
        <w:spacing w:after="140" w:before="140"/>
        <w:ind w:left="360"/>
      </w:pPr>
      <w:r>
        <w:rPr>
          <w:rFonts w:ascii="Arial" w:cs="Arial" w:eastAsia="Arial" w:hAnsi="Arial"/>
          <w:b/>
          <w:bCs/>
          <w:i/>
          <w:iCs/>
          <w:color w:val="00875A"/>
          <w:sz w:val="22"/>
          <w:szCs w:val="22"/>
        </w:rPr>
        <w:t xml:space="preserve">🔒 "AA2 Chemical Doctrine ensures that nothing enters your body, your child's body, or your animal's body without context, memory, and alignment. That is not wellness. That is life integrity."</w:t>
      </w:r>
    </w:p>
    <w:p>
      <w:pPr>
        <w:pBdr>
          <w:bottom w:val="single" w:color="DDDDDD" w:sz="4"/>
        </w:pBdr>
        <w:spacing w:after="200" w:before="200"/>
      </w:pPr>
      <w:r>
        <w:t xml:space="preserve"/>
      </w:r>
    </w:p>
    <w:p>
      <w:pPr>
        <w:pStyle w:val="Heading1"/>
        <w:spacing w:after="120" w:before="400"/>
      </w:pPr>
      <w:r>
        <w:rPr>
          <w:rFonts w:ascii="Arial" w:cs="Arial" w:eastAsia="Arial" w:hAnsi="Arial"/>
          <w:b/>
          <w:bCs/>
          <w:color w:val="0A0A0F"/>
          <w:sz w:val="32"/>
          <w:szCs w:val="32"/>
        </w:rPr>
        <w:t xml:space="preserve">IV. CHEMICAL DOCTRINE — FOUNDATIONAL LAW</w:t>
      </w:r>
    </w:p>
    <w:p>
      <w:pPr>
        <w:spacing w:after="60" w:before="60"/>
      </w:pPr>
      <w:r>
        <w:rPr>
          <w:rFonts w:ascii="Arial" w:cs="Arial" w:eastAsia="Arial" w:hAnsi="Arial"/>
          <w:color w:val="444455"/>
          <w:sz w:val="22"/>
          <w:szCs w:val="22"/>
        </w:rPr>
        <w:t xml:space="preserve">Chemicals are silent actors. They do not announce intent. They reveal themselves only through the body. AA2 treats chemicals not as ingredients but as behavioral forces. They influence mood, inflammation, cognition, sleep, aggression, anxiety, bonding, learning speed, recovery, and trust signals.</w:t>
      </w:r>
    </w:p>
    <w:p>
      <w:pPr>
        <w:spacing w:after="60" w:before="60"/>
      </w:pPr>
      <w:r>
        <w:rPr>
          <w:rFonts w:ascii="Arial" w:cs="Arial" w:eastAsia="Arial" w:hAnsi="Arial"/>
          <w:color w:val="444455"/>
          <w:sz w:val="22"/>
          <w:szCs w:val="22"/>
        </w:rPr>
        <w:t xml:space="preserve">Most systems stop at: "This contains X." AA2 begins at: "What does X do over time to this biology, in this context?"</w:t>
      </w:r>
    </w:p>
    <w:p>
      <w:pPr>
        <w:pStyle w:val="Heading2"/>
        <w:spacing w:after="80" w:before="240"/>
      </w:pPr>
      <w:r>
        <w:rPr>
          <w:rFonts w:ascii="Arial" w:cs="Arial" w:eastAsia="Arial" w:hAnsi="Arial"/>
          <w:b/>
          <w:bCs/>
          <w:color w:val="1A5276"/>
          <w:sz w:val="26"/>
          <w:szCs w:val="26"/>
        </w:rPr>
        <w:t xml:space="preserve">Five Chemical Doctrine Principles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1. Exposure Over Label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A safe ingredient becomes unsafe through repetition, timing, or combination.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2. Cumulative Load Matters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AA2 tracks stacking across days, weeks, environments, and stress states.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3. Biosignal Is the Judge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No debate. If the body reacts, the doctrine updates.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4. Sensitivity Scales Dynamically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Children, animals, and stressed adults are not mini adults.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5. Chemicals Affect Behavior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This is not wellness. This is performance, safety, and future alignment.</w:t>
            </w:r>
          </w:p>
        </w:tc>
      </w:tr>
    </w:tbl>
    <w:p>
      <w:pPr>
        <w:pStyle w:val="Heading2"/>
        <w:spacing w:after="80" w:before="240"/>
      </w:pPr>
      <w:r>
        <w:rPr>
          <w:rFonts w:ascii="Arial" w:cs="Arial" w:eastAsia="Arial" w:hAnsi="Arial"/>
          <w:b/>
          <w:bCs/>
          <w:color w:val="1A5276"/>
          <w:sz w:val="26"/>
          <w:szCs w:val="26"/>
        </w:rPr>
        <w:t xml:space="preserve">Chemical Doctrine Step Flow</w:t>
      </w:r>
    </w:p>
    <w:p>
      <w:pPr>
        <w:pStyle w:val="ListParagraph"/>
        <w:numPr>
          <w:ilvl w:val="0"/>
          <w:numId w:val="2"/>
        </w:numPr>
        <w:spacing w:after="40" w:before="40"/>
      </w:pPr>
      <w:r>
        <w:rPr>
          <w:rFonts w:ascii="Arial" w:cs="Arial" w:eastAsia="Arial" w:hAnsi="Arial"/>
          <w:color w:val="444455"/>
          <w:sz w:val="22"/>
          <w:szCs w:val="22"/>
        </w:rPr>
        <w:t xml:space="preserve">Scan occurs — food, product, menu, environment, animal feed, medication</w:t>
      </w:r>
    </w:p>
    <w:p>
      <w:pPr>
        <w:pStyle w:val="ListParagraph"/>
        <w:numPr>
          <w:ilvl w:val="0"/>
          <w:numId w:val="2"/>
        </w:numPr>
        <w:spacing w:after="40" w:before="40"/>
      </w:pPr>
      <w:r>
        <w:rPr>
          <w:rFonts w:ascii="Arial" w:cs="Arial" w:eastAsia="Arial" w:hAnsi="Arial"/>
          <w:color w:val="444455"/>
          <w:sz w:val="22"/>
          <w:szCs w:val="22"/>
        </w:rPr>
        <w:t xml:space="preserve">Ingredient translation — chemical names to human meaning, regional naming resolved, preparation method factored</w:t>
      </w:r>
    </w:p>
    <w:p>
      <w:pPr>
        <w:pStyle w:val="ListParagraph"/>
        <w:numPr>
          <w:ilvl w:val="0"/>
          <w:numId w:val="2"/>
        </w:numPr>
        <w:spacing w:after="40" w:before="40"/>
      </w:pPr>
      <w:r>
        <w:rPr>
          <w:rFonts w:ascii="Arial" w:cs="Arial" w:eastAsia="Arial" w:hAnsi="Arial"/>
          <w:color w:val="444455"/>
          <w:sz w:val="22"/>
          <w:szCs w:val="22"/>
        </w:rPr>
        <w:t xml:space="preserve">Exposure context applied — age, species, stress state, recent load, sleep debt, climate, activity level</w:t>
      </w:r>
    </w:p>
    <w:p>
      <w:pPr>
        <w:pStyle w:val="ListParagraph"/>
        <w:numPr>
          <w:ilvl w:val="0"/>
          <w:numId w:val="2"/>
        </w:numPr>
        <w:spacing w:after="40" w:before="40"/>
      </w:pPr>
      <w:r>
        <w:rPr>
          <w:rFonts w:ascii="Arial" w:cs="Arial" w:eastAsia="Arial" w:hAnsi="Arial"/>
          <w:color w:val="444455"/>
          <w:sz w:val="22"/>
          <w:szCs w:val="22"/>
        </w:rPr>
        <w:t xml:space="preserve">Biosignal history cross-check — delayed reactions, subtle inflammation, mood changes, learning slowdown, behavioral shifts</w:t>
      </w:r>
    </w:p>
    <w:p>
      <w:pPr>
        <w:pStyle w:val="ListParagraph"/>
        <w:numPr>
          <w:ilvl w:val="0"/>
          <w:numId w:val="2"/>
        </w:numPr>
        <w:spacing w:after="40" w:before="40"/>
      </w:pPr>
      <w:r>
        <w:rPr>
          <w:rFonts w:ascii="Arial" w:cs="Arial" w:eastAsia="Arial" w:hAnsi="Arial"/>
          <w:color w:val="444455"/>
          <w:sz w:val="22"/>
          <w:szCs w:val="22"/>
        </w:rPr>
        <w:t xml:space="preserve">Intent alignment check — does this help or hinder stated goals: health, focus, longevity, safety, training, legacy</w:t>
      </w:r>
    </w:p>
    <w:p>
      <w:pPr>
        <w:pStyle w:val="ListParagraph"/>
        <w:numPr>
          <w:ilvl w:val="0"/>
          <w:numId w:val="2"/>
        </w:numPr>
        <w:spacing w:after="40" w:before="40"/>
      </w:pPr>
      <w:r>
        <w:rPr>
          <w:rFonts w:ascii="Arial" w:cs="Arial" w:eastAsia="Arial" w:hAnsi="Arial"/>
          <w:color w:val="444455"/>
          <w:sz w:val="22"/>
          <w:szCs w:val="22"/>
        </w:rPr>
        <w:t xml:space="preserve">Guidance delivered — not shame, not fear, clear options</w:t>
      </w:r>
    </w:p>
    <w:p>
      <w:pPr>
        <w:pBdr>
          <w:left w:val="thick" w:color="00875A" w:sz="8"/>
        </w:pBdr>
        <w:shd w:fill="F0FFF8" w:val="clear"/>
        <w:spacing w:after="140" w:before="140"/>
        <w:ind w:left="360"/>
      </w:pPr>
      <w:r>
        <w:rPr>
          <w:rFonts w:ascii="Arial" w:cs="Arial" w:eastAsia="Arial" w:hAnsi="Arial"/>
          <w:b/>
          <w:bCs/>
          <w:i/>
          <w:iCs/>
          <w:color w:val="00875A"/>
          <w:sz w:val="22"/>
          <w:szCs w:val="22"/>
        </w:rPr>
        <w:t xml:space="preserve">🔒 "If you would not eat it, do not wear it. The skin is not a barrier — it is a door. AA2 guards both."</w:t>
      </w:r>
    </w:p>
    <w:p>
      <w:pPr>
        <w:pBdr>
          <w:bottom w:val="single" w:color="DDDDDD" w:sz="4"/>
        </w:pBdr>
        <w:spacing w:after="200" w:before="200"/>
      </w:pPr>
      <w:r>
        <w:t xml:space="preserve"/>
      </w:r>
    </w:p>
    <w:p>
      <w:r>
        <w:br w:type="page"/>
      </w:r>
    </w:p>
    <w:p>
      <w:pPr>
        <w:pStyle w:val="Heading1"/>
        <w:spacing w:after="120" w:before="400"/>
      </w:pPr>
      <w:r>
        <w:rPr>
          <w:rFonts w:ascii="Arial" w:cs="Arial" w:eastAsia="Arial" w:hAnsi="Arial"/>
          <w:b/>
          <w:bCs/>
          <w:color w:val="0A0A0F"/>
          <w:sz w:val="32"/>
          <w:szCs w:val="32"/>
        </w:rPr>
        <w:t xml:space="preserve">V. THE AA2 STACK — SEVEN-LAYER ARCHITECTURE</w:t>
      </w:r>
    </w:p>
    <w:p>
      <w:pPr>
        <w:spacing w:after="60" w:before="60"/>
      </w:pPr>
      <w:r>
        <w:rPr>
          <w:rFonts w:ascii="Arial" w:cs="Arial" w:eastAsia="Arial" w:hAnsi="Arial"/>
          <w:color w:val="444455"/>
          <w:sz w:val="22"/>
          <w:szCs w:val="22"/>
        </w:rPr>
        <w:t xml:space="preserve">The AA2 stack operates top-down from intent to real-world contact. Most systems operate after the real-world contact point. AA2 intercepts before. Each layer feeds upward.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4A2A" w:val="clear"/>
            <w:tcMar>
              <w:top w:type="dxa" w:w="100"/>
              <w:left w:type="dxa" w:w="160"/>
              <w:bottom w:type="dxa" w:w="100"/>
              <w:right w:type="dxa" w:w="160"/>
            </w:tcMar>
          </w:tcPr>
          <w:p>
            <w:r>
              <w:rPr>
                <w:rFonts w:ascii="Arial" w:cs="Arial" w:eastAsia="Arial" w:hAnsi="Arial"/>
                <w:b/>
                <w:bCs/>
                <w:color w:val="FFFFFF"/>
                <w:sz w:val="20"/>
                <w:szCs w:val="20"/>
              </w:rPr>
              <w:t xml:space="preserve">AA2 INTENT &amp; GOALS LAYER</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44455"/>
                <w:sz w:val="18"/>
                <w:szCs w:val="18"/>
              </w:rPr>
              <w:t xml:space="preserve">What you said you want / where you're going / who you protect</w:t>
            </w:r>
          </w:p>
        </w:tc>
      </w:tr>
      <w:tr>
        <w:tc>
          <w:tcPr>
            <w:tcW w:type="dxa" w:w="4680"/>
            <w:tcBorders>
              <w:top w:val="single" w:color="CCCCCC" w:sz="1"/>
              <w:left w:val="single" w:color="CCCCCC" w:sz="1"/>
              <w:bottom w:val="single" w:color="CCCCCC" w:sz="1"/>
              <w:right w:val="single" w:color="CCCCCC" w:sz="1"/>
            </w:tcBorders>
            <w:shd w:fill="1A3A6A" w:val="clear"/>
            <w:tcMar>
              <w:top w:type="dxa" w:w="100"/>
              <w:left w:type="dxa" w:w="160"/>
              <w:bottom w:type="dxa" w:w="100"/>
              <w:right w:type="dxa" w:w="160"/>
            </w:tcMar>
          </w:tcPr>
          <w:p>
            <w:r>
              <w:rPr>
                <w:rFonts w:ascii="Arial" w:cs="Arial" w:eastAsia="Arial" w:hAnsi="Arial"/>
                <w:b/>
                <w:bCs/>
                <w:color w:val="FFFFFF"/>
                <w:sz w:val="20"/>
                <w:szCs w:val="20"/>
              </w:rPr>
              <w:t xml:space="preserve">AA2 BIOSIGNAL TRUTH LAYER</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44455"/>
                <w:sz w:val="18"/>
                <w:szCs w:val="18"/>
              </w:rPr>
              <w:t xml:space="preserve">HRV, stress, sleep, recovery, canine dual-baseline, emotional load</w:t>
            </w:r>
          </w:p>
        </w:tc>
      </w:tr>
      <w:tr>
        <w:tc>
          <w:tcPr>
            <w:tcW w:type="dxa" w:w="4680"/>
            <w:tcBorders>
              <w:top w:val="single" w:color="CCCCCC" w:sz="1"/>
              <w:left w:val="single" w:color="CCCCCC" w:sz="1"/>
              <w:bottom w:val="single" w:color="CCCCCC" w:sz="1"/>
              <w:right w:val="single" w:color="CCCCCC" w:sz="1"/>
            </w:tcBorders>
            <w:shd w:fill="4A2A6A" w:val="clear"/>
            <w:tcMar>
              <w:top w:type="dxa" w:w="100"/>
              <w:left w:type="dxa" w:w="160"/>
              <w:bottom w:type="dxa" w:w="100"/>
              <w:right w:type="dxa" w:w="160"/>
            </w:tcMar>
          </w:tcPr>
          <w:p>
            <w:r>
              <w:rPr>
                <w:rFonts w:ascii="Arial" w:cs="Arial" w:eastAsia="Arial" w:hAnsi="Arial"/>
                <w:b/>
                <w:bCs/>
                <w:color w:val="FFFFFF"/>
                <w:sz w:val="20"/>
                <w:szCs w:val="20"/>
              </w:rPr>
              <w:t xml:space="preserve">AA2 CHEMICAL &amp; EXPOSURE LAYER</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44455"/>
                <w:sz w:val="18"/>
                <w:szCs w:val="18"/>
              </w:rPr>
              <w:t xml:space="preserve">Food, air, skin contact, cleaners, meds, supplements, environment</w:t>
            </w:r>
          </w:p>
        </w:tc>
      </w:tr>
      <w:tr>
        <w:tc>
          <w:tcPr>
            <w:tcW w:type="dxa" w:w="4680"/>
            <w:tcBorders>
              <w:top w:val="single" w:color="CCCCCC" w:sz="1"/>
              <w:left w:val="single" w:color="CCCCCC" w:sz="1"/>
              <w:bottom w:val="single" w:color="CCCCCC" w:sz="1"/>
              <w:right w:val="single" w:color="CCCCCC" w:sz="1"/>
            </w:tcBorders>
            <w:shd w:fill="6A2A2A" w:val="clear"/>
            <w:tcMar>
              <w:top w:type="dxa" w:w="100"/>
              <w:left w:type="dxa" w:w="160"/>
              <w:bottom w:type="dxa" w:w="100"/>
              <w:right w:type="dxa" w:w="160"/>
            </w:tcMar>
          </w:tcPr>
          <w:p>
            <w:r>
              <w:rPr>
                <w:rFonts w:ascii="Arial" w:cs="Arial" w:eastAsia="Arial" w:hAnsi="Arial"/>
                <w:b/>
                <w:bCs/>
                <w:color w:val="FFFFFF"/>
                <w:sz w:val="20"/>
                <w:szCs w:val="20"/>
              </w:rPr>
              <w:t xml:space="preserve">AA2 SCANNER &amp; TRANSLATION LAYER</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44455"/>
                <w:sz w:val="18"/>
                <w:szCs w:val="18"/>
              </w:rPr>
              <w:t xml:space="preserve">Ingredient decoding, language learning, cultural context, warnings</w:t>
            </w:r>
          </w:p>
        </w:tc>
      </w:tr>
      <w:tr>
        <w:tc>
          <w:tcPr>
            <w:tcW w:type="dxa" w:w="4680"/>
            <w:tcBorders>
              <w:top w:val="single" w:color="CCCCCC" w:sz="1"/>
              <w:left w:val="single" w:color="CCCCCC" w:sz="1"/>
              <w:bottom w:val="single" w:color="CCCCCC" w:sz="1"/>
              <w:right w:val="single" w:color="CCCCCC" w:sz="1"/>
            </w:tcBorders>
            <w:shd w:fill="6A4A1A" w:val="clear"/>
            <w:tcMar>
              <w:top w:type="dxa" w:w="100"/>
              <w:left w:type="dxa" w:w="160"/>
              <w:bottom w:type="dxa" w:w="100"/>
              <w:right w:type="dxa" w:w="160"/>
            </w:tcMar>
          </w:tcPr>
          <w:p>
            <w:r>
              <w:rPr>
                <w:rFonts w:ascii="Arial" w:cs="Arial" w:eastAsia="Arial" w:hAnsi="Arial"/>
                <w:b/>
                <w:bCs/>
                <w:color w:val="FFFFFF"/>
                <w:sz w:val="20"/>
                <w:szCs w:val="20"/>
              </w:rPr>
              <w:t xml:space="preserve">AA2 ENVIRONMENT &amp; LOCATION</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44455"/>
                <w:sz w:val="18"/>
                <w:szCs w:val="18"/>
              </w:rPr>
              <w:t xml:space="preserve">Grocery, travel, Uber, parks, homes, schools, kennels, gyms</w:t>
            </w:r>
          </w:p>
        </w:tc>
      </w:tr>
      <w:tr>
        <w:tc>
          <w:tcPr>
            <w:tcW w:type="dxa" w:w="4680"/>
            <w:tcBorders>
              <w:top w:val="single" w:color="CCCCCC" w:sz="1"/>
              <w:left w:val="single" w:color="CCCCCC" w:sz="1"/>
              <w:bottom w:val="single" w:color="CCCCCC" w:sz="1"/>
              <w:right w:val="single" w:color="CCCCCC" w:sz="1"/>
            </w:tcBorders>
            <w:shd w:fill="2A4A6A" w:val="clear"/>
            <w:tcMar>
              <w:top w:type="dxa" w:w="100"/>
              <w:left w:type="dxa" w:w="160"/>
              <w:bottom w:type="dxa" w:w="100"/>
              <w:right w:type="dxa" w:w="160"/>
            </w:tcMar>
          </w:tcPr>
          <w:p>
            <w:r>
              <w:rPr>
                <w:rFonts w:ascii="Arial" w:cs="Arial" w:eastAsia="Arial" w:hAnsi="Arial"/>
                <w:b/>
                <w:bCs/>
                <w:color w:val="FFFFFF"/>
                <w:sz w:val="20"/>
                <w:szCs w:val="20"/>
              </w:rPr>
              <w:t xml:space="preserve">AA2 DEVICE &amp; INPUT LAYER</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44455"/>
                <w:sz w:val="18"/>
                <w:szCs w:val="18"/>
              </w:rPr>
              <w:t xml:space="preserve">Camera scan, voice, watch, ring, phone, glasses, canine collar</w:t>
            </w:r>
          </w:p>
        </w:tc>
      </w:tr>
      <w:tr>
        <w:tc>
          <w:tcPr>
            <w:tcW w:type="dxa" w:w="4680"/>
            <w:tcBorders>
              <w:top w:val="single" w:color="CCCCCC" w:sz="1"/>
              <w:left w:val="single" w:color="CCCCCC" w:sz="1"/>
              <w:bottom w:val="single" w:color="CCCCCC" w:sz="1"/>
              <w:right w:val="single" w:color="CCCCCC" w:sz="1"/>
            </w:tcBorders>
            <w:shd w:fill="333333" w:val="clear"/>
            <w:tcMar>
              <w:top w:type="dxa" w:w="100"/>
              <w:left w:type="dxa" w:w="160"/>
              <w:bottom w:type="dxa" w:w="100"/>
              <w:right w:type="dxa" w:w="160"/>
            </w:tcMar>
          </w:tcPr>
          <w:p>
            <w:r>
              <w:rPr>
                <w:rFonts w:ascii="Arial" w:cs="Arial" w:eastAsia="Arial" w:hAnsi="Arial"/>
                <w:b/>
                <w:bCs/>
                <w:color w:val="FFFFFF"/>
                <w:sz w:val="20"/>
                <w:szCs w:val="20"/>
              </w:rPr>
              <w:t xml:space="preserve">REAL WORLD CONTACT POINT</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44455"/>
                <w:sz w:val="18"/>
                <w:szCs w:val="18"/>
              </w:rPr>
              <w:t xml:space="preserve">Before purchase. Before consumption. Before exposure.</w:t>
            </w:r>
          </w:p>
        </w:tc>
      </w:tr>
    </w:tbl>
    <w:p>
      <w:pPr>
        <w:spacing w:after="0" w:before="120"/>
      </w:pPr>
      <w:r>
        <w:t xml:space="preserve"/>
      </w:r>
    </w:p>
    <w:p>
      <w:pPr>
        <w:spacing w:after="60" w:before="60"/>
      </w:pPr>
      <w:r>
        <w:rPr>
          <w:rFonts w:ascii="Arial" w:cs="Arial" w:eastAsia="Arial" w:hAnsi="Arial"/>
          <w:color w:val="444455"/>
          <w:sz w:val="22"/>
          <w:szCs w:val="22"/>
        </w:rPr>
        <w:t xml:space="preserve">Key Insight: Every scan that occurs at the REAL WORLD CONTACT POINT travels upward through all seven layers. By the time a recommendation is delivered, it has been filtered through the device input, the environment it was scanned in, translation and safety logic, chemical and exposure history, biosignal truth, and final alignment against the user's stated intentions and goals.</w:t>
      </w:r>
    </w:p>
    <w:p>
      <w:pPr>
        <w:pBdr>
          <w:bottom w:val="single" w:color="DDDDDD" w:sz="4"/>
        </w:pBdr>
        <w:spacing w:after="200" w:before="200"/>
      </w:pPr>
      <w:r>
        <w:t xml:space="preserve"/>
      </w:r>
    </w:p>
    <w:p>
      <w:pPr>
        <w:pStyle w:val="Heading1"/>
        <w:spacing w:after="120" w:before="400"/>
      </w:pPr>
      <w:r>
        <w:rPr>
          <w:rFonts w:ascii="Arial" w:cs="Arial" w:eastAsia="Arial" w:hAnsi="Arial"/>
          <w:b/>
          <w:bCs/>
          <w:color w:val="0A0A0F"/>
          <w:sz w:val="32"/>
          <w:szCs w:val="32"/>
        </w:rPr>
        <w:t xml:space="preserve">VI. AA2 SCAN — FIVE TAB ARCHITECTURE</w:t>
      </w:r>
    </w:p>
    <w:p>
      <w:pPr>
        <w:spacing w:after="60" w:before="60"/>
      </w:pPr>
      <w:r>
        <w:rPr>
          <w:rFonts w:ascii="Arial" w:cs="Arial" w:eastAsia="Arial" w:hAnsi="Arial"/>
          <w:color w:val="444455"/>
          <w:sz w:val="22"/>
          <w:szCs w:val="22"/>
        </w:rPr>
        <w:t xml:space="preserve">AA2 SCAN is Spoke 1 of the AA2 BioMesh. It is the decision membrane that sits before purchase, consumption, and exposure. Five intelligence tabs. Each with its own scanning mode, database layer, and doctrine.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1500"/>
        <w:gridCol w:w="2760"/>
        <w:gridCol w:w="2400"/>
      </w:tblGrid>
      <w:tr>
        <w:tc>
          <w:tcPr>
            <w:tcW w:type="dxa" w:w="800"/>
            <w:tcBorders>
              <w:top w:val="single" w:color="CCCCCC" w:sz="1"/>
              <w:left w:val="single" w:color="CCCCCC" w:sz="1"/>
              <w:bottom w:val="single" w:color="CCCCCC" w:sz="1"/>
              <w:right w:val="single" w:color="CCCCCC" w:sz="1"/>
            </w:tcBorders>
            <w:shd w:fill="0A3D2A" w:val="clear"/>
            <w:tcMar>
              <w:top w:type="dxa" w:w="80"/>
              <w:left w:type="dxa" w:w="100"/>
              <w:bottom w:type="dxa" w:w="80"/>
              <w:right w:type="dxa" w:w="100"/>
            </w:tcMar>
          </w:tcPr>
          <w:p>
            <w:r>
              <w:rPr>
                <w:rFonts w:ascii="Arial" w:cs="Arial" w:eastAsia="Arial" w:hAnsi="Arial"/>
                <w:b/>
                <w:bCs/>
                <w:color w:val="FFFFFF"/>
                <w:sz w:val="18"/>
                <w:szCs w:val="18"/>
              </w:rPr>
              <w:t xml:space="preserve">TAB</w:t>
            </w:r>
          </w:p>
        </w:tc>
        <w:tc>
          <w:tcPr>
            <w:tcW w:type="dxa" w:w="900"/>
            <w:tcBorders>
              <w:top w:val="single" w:color="CCCCCC" w:sz="1"/>
              <w:left w:val="single" w:color="CCCCCC" w:sz="1"/>
              <w:bottom w:val="single" w:color="CCCCCC" w:sz="1"/>
              <w:right w:val="single" w:color="CCCCCC" w:sz="1"/>
            </w:tcBorders>
            <w:shd w:fill="0A3D2A" w:val="clear"/>
            <w:tcMar>
              <w:top w:type="dxa" w:w="80"/>
              <w:left w:type="dxa" w:w="100"/>
              <w:bottom w:type="dxa" w:w="80"/>
              <w:right w:type="dxa" w:w="100"/>
            </w:tcMar>
          </w:tcPr>
          <w:p>
            <w:r>
              <w:rPr>
                <w:rFonts w:ascii="Arial" w:cs="Arial" w:eastAsia="Arial" w:hAnsi="Arial"/>
                <w:b/>
                <w:bCs/>
                <w:color w:val="FFFFFF"/>
                <w:sz w:val="18"/>
                <w:szCs w:val="18"/>
              </w:rPr>
              <w:t xml:space="preserve">NAME</w:t>
            </w:r>
          </w:p>
        </w:tc>
        <w:tc>
          <w:tcPr>
            <w:tcW w:type="dxa" w:w="1500"/>
            <w:tcBorders>
              <w:top w:val="single" w:color="CCCCCC" w:sz="1"/>
              <w:left w:val="single" w:color="CCCCCC" w:sz="1"/>
              <w:bottom w:val="single" w:color="CCCCCC" w:sz="1"/>
              <w:right w:val="single" w:color="CCCCCC" w:sz="1"/>
            </w:tcBorders>
            <w:shd w:fill="0A3D2A" w:val="clear"/>
            <w:tcMar>
              <w:top w:type="dxa" w:w="80"/>
              <w:left w:type="dxa" w:w="100"/>
              <w:bottom w:type="dxa" w:w="80"/>
              <w:right w:type="dxa" w:w="100"/>
            </w:tcMar>
          </w:tcPr>
          <w:p>
            <w:r>
              <w:rPr>
                <w:rFonts w:ascii="Arial" w:cs="Arial" w:eastAsia="Arial" w:hAnsi="Arial"/>
                <w:b/>
                <w:bCs/>
                <w:color w:val="FFFFFF"/>
                <w:sz w:val="18"/>
                <w:szCs w:val="18"/>
              </w:rPr>
              <w:t xml:space="preserve">SCAN TYPE</w:t>
            </w:r>
          </w:p>
        </w:tc>
        <w:tc>
          <w:tcPr>
            <w:tcW w:type="dxa" w:w="2760"/>
            <w:tcBorders>
              <w:top w:val="single" w:color="CCCCCC" w:sz="1"/>
              <w:left w:val="single" w:color="CCCCCC" w:sz="1"/>
              <w:bottom w:val="single" w:color="CCCCCC" w:sz="1"/>
              <w:right w:val="single" w:color="CCCCCC" w:sz="1"/>
            </w:tcBorders>
            <w:shd w:fill="0A3D2A" w:val="clear"/>
            <w:tcMar>
              <w:top w:type="dxa" w:w="80"/>
              <w:left w:type="dxa" w:w="100"/>
              <w:bottom w:type="dxa" w:w="80"/>
              <w:right w:type="dxa" w:w="100"/>
            </w:tcMar>
          </w:tcPr>
          <w:p>
            <w:r>
              <w:rPr>
                <w:rFonts w:ascii="Arial" w:cs="Arial" w:eastAsia="Arial" w:hAnsi="Arial"/>
                <w:b/>
                <w:bCs/>
                <w:color w:val="FFFFFF"/>
                <w:sz w:val="18"/>
                <w:szCs w:val="18"/>
              </w:rPr>
              <w:t xml:space="preserve">INTELLIGENCE LAYER</w:t>
            </w:r>
          </w:p>
        </w:tc>
        <w:tc>
          <w:tcPr>
            <w:tcW w:type="dxa" w:w="2400"/>
            <w:tcBorders>
              <w:top w:val="single" w:color="CCCCCC" w:sz="1"/>
              <w:left w:val="single" w:color="CCCCCC" w:sz="1"/>
              <w:bottom w:val="single" w:color="CCCCCC" w:sz="1"/>
              <w:right w:val="single" w:color="CCCCCC" w:sz="1"/>
            </w:tcBorders>
            <w:shd w:fill="0A3D2A" w:val="clear"/>
            <w:tcMar>
              <w:top w:type="dxa" w:w="80"/>
              <w:left w:type="dxa" w:w="100"/>
              <w:bottom w:type="dxa" w:w="80"/>
              <w:right w:type="dxa" w:w="100"/>
            </w:tcMar>
          </w:tcPr>
          <w:p>
            <w:r>
              <w:rPr>
                <w:rFonts w:ascii="Arial" w:cs="Arial" w:eastAsia="Arial" w:hAnsi="Arial"/>
                <w:b/>
                <w:bCs/>
                <w:color w:val="FFFFFF"/>
                <w:sz w:val="18"/>
                <w:szCs w:val="18"/>
              </w:rPr>
              <w:t xml:space="preserve">KEY FEATURE</w:t>
            </w:r>
          </w:p>
        </w:tc>
      </w:tr>
      <w:tr>
        <w:tc>
          <w:tcPr>
            <w:tcW w:type="dxa" w:w="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1 — 📦</w:t>
            </w:r>
          </w:p>
        </w:tc>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SCAN</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Barcode</w:t>
            </w:r>
          </w:p>
        </w:tc>
        <w:tc>
          <w:tcPr>
            <w:tcW w:type="dxa" w:w="2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9 Databases + Claude Equalizer</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Retail Intelligence Loop → Vault</w:t>
            </w:r>
          </w:p>
        </w:tc>
      </w:tr>
      <w:tr>
        <w:tc>
          <w:tcPr>
            <w:tcW w:type="dxa" w:w="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2 — 🥦</w:t>
            </w:r>
          </w:p>
        </w:tc>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PRODUCE</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Vision</w:t>
            </w:r>
          </w:p>
        </w:tc>
        <w:tc>
          <w:tcPr>
            <w:tcW w:type="dxa" w:w="2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Claude Vision + Post-Harvest Science</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Ripeness + Bruise + Storage</w:t>
            </w:r>
          </w:p>
        </w:tc>
      </w:tr>
      <w:tr>
        <w:tc>
          <w:tcPr>
            <w:tcW w:type="dxa" w:w="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3 — 🥩</w:t>
            </w:r>
          </w:p>
        </w:tc>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MEAT</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Vision</w:t>
            </w:r>
          </w:p>
        </w:tc>
        <w:tc>
          <w:tcPr>
            <w:tcW w:type="dxa" w:w="2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Claude Vision + USDA Safety</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CO₂/MAP Detection + Cook Temp</w:t>
            </w:r>
          </w:p>
        </w:tc>
      </w:tr>
      <w:tr>
        <w:tc>
          <w:tcPr>
            <w:tcW w:type="dxa" w:w="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4 — 🧴</w:t>
            </w:r>
          </w:p>
        </w:tc>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CARE</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Barcode + Vision</w:t>
            </w:r>
          </w:p>
        </w:tc>
        <w:tc>
          <w:tcPr>
            <w:tcW w:type="dxa" w:w="2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Skin Ingestion Doctrine + EU CosIng</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Tier 1/2/3 + Endocrine Risk</w:t>
            </w:r>
          </w:p>
        </w:tc>
      </w:tr>
      <w:tr>
        <w:tc>
          <w:tcPr>
            <w:tcW w:type="dxa" w:w="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5 — 🗺️</w:t>
            </w:r>
          </w:p>
        </w:tc>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GRID</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GPS</w:t>
            </w:r>
          </w:p>
        </w:tc>
        <w:tc>
          <w:tcPr>
            <w:tcW w:type="dxa" w:w="2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Google Maps Places API</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ON GRID / OFF GRID Toggle</w:t>
            </w:r>
          </w:p>
        </w:tc>
      </w:tr>
    </w:tbl>
    <w:p>
      <w:pPr>
        <w:spacing w:after="0" w:before="120"/>
      </w:pPr>
      <w:r>
        <w:t xml:space="preserve"/>
      </w:r>
    </w:p>
    <w:p>
      <w:pPr>
        <w:pBdr>
          <w:left w:val="thick" w:color="00875A" w:sz="8"/>
        </w:pBdr>
        <w:shd w:fill="F0FFF8" w:val="clear"/>
        <w:spacing w:after="140" w:before="140"/>
        <w:ind w:left="360"/>
      </w:pPr>
      <w:r>
        <w:rPr>
          <w:rFonts w:ascii="Arial" w:cs="Arial" w:eastAsia="Arial" w:hAnsi="Arial"/>
          <w:b/>
          <w:bCs/>
          <w:i/>
          <w:iCs/>
          <w:color w:val="00875A"/>
          <w:sz w:val="22"/>
          <w:szCs w:val="22"/>
        </w:rPr>
        <w:t xml:space="preserve">🔒 "Health tracking starts at Spoke 1. The scanner IS the health tracker. Every scan is a health data point from day one."</w:t>
      </w:r>
    </w:p>
    <w:p>
      <w:pPr>
        <w:pStyle w:val="Heading2"/>
        <w:spacing w:after="80" w:before="240"/>
      </w:pPr>
      <w:r>
        <w:rPr>
          <w:rFonts w:ascii="Arial" w:cs="Arial" w:eastAsia="Arial" w:hAnsi="Arial"/>
          <w:b/>
          <w:bCs/>
          <w:color w:val="1A5276"/>
          <w:sz w:val="26"/>
          <w:szCs w:val="26"/>
        </w:rPr>
        <w:t xml:space="preserve">The Hero Image — The Market Scene</w:t>
      </w:r>
    </w:p>
    <w:p>
      <w:pPr>
        <w:spacing w:after="60" w:before="60"/>
      </w:pPr>
      <w:r>
        <w:rPr>
          <w:rFonts w:ascii="Arial" w:cs="Arial" w:eastAsia="Arial" w:hAnsi="Arial"/>
          <w:color w:val="444455"/>
          <w:sz w:val="22"/>
          <w:szCs w:val="22"/>
        </w:rPr>
        <w:t xml:space="preserve">The background image across the SCAN app is a sunlit open-air market scene. The Chef's silhouette in a black chef's coat stands at a wooden table displaying a ribeye steak, packaged goods, fresh berries, and a red basket overflowing with produce. Farmers market tents in the background. Every tab in one frame. Not decoration. Doctrine made visual.</w:t>
      </w:r>
    </w:p>
    <w:p>
      <w:pPr>
        <w:pBdr>
          <w:bottom w:val="single" w:color="DDDDDD" w:sz="4"/>
        </w:pBdr>
        <w:spacing w:after="200" w:before="200"/>
      </w:pPr>
      <w:r>
        <w:t xml:space="preserve"/>
      </w:r>
    </w:p>
    <w:p>
      <w:pPr>
        <w:pStyle w:val="Heading1"/>
        <w:spacing w:after="120" w:before="400"/>
      </w:pPr>
      <w:r>
        <w:rPr>
          <w:rFonts w:ascii="Arial" w:cs="Arial" w:eastAsia="Arial" w:hAnsi="Arial"/>
          <w:b/>
          <w:bCs/>
          <w:color w:val="0A0A0F"/>
          <w:sz w:val="32"/>
          <w:szCs w:val="32"/>
        </w:rPr>
        <w:t xml:space="preserve">VII. TAB 1 — SCAN (BARCODE INTELLIGENCE)</w:t>
      </w:r>
    </w:p>
    <w:p>
      <w:pPr>
        <w:pStyle w:val="Heading2"/>
        <w:spacing w:after="80" w:before="240"/>
      </w:pPr>
      <w:r>
        <w:rPr>
          <w:rFonts w:ascii="Arial" w:cs="Arial" w:eastAsia="Arial" w:hAnsi="Arial"/>
          <w:b/>
          <w:bCs/>
          <w:color w:val="1A5276"/>
          <w:sz w:val="26"/>
          <w:szCs w:val="26"/>
        </w:rPr>
        <w:t xml:space="preserve">Database Stack — 9 Sources Per Scan</w:t>
      </w:r>
    </w:p>
    <w:p>
      <w:pPr>
        <w:pStyle w:val="ListParagraph"/>
        <w:numPr>
          <w:ilvl w:val="0"/>
          <w:numId w:val="2"/>
        </w:numPr>
        <w:spacing w:after="40" w:before="40"/>
      </w:pPr>
      <w:r>
        <w:rPr>
          <w:rFonts w:ascii="Arial" w:cs="Arial" w:eastAsia="Arial" w:hAnsi="Arial"/>
          <w:color w:val="444455"/>
          <w:sz w:val="22"/>
          <w:szCs w:val="22"/>
        </w:rPr>
        <w:t xml:space="preserve">Open Food Facts — ingredients, allergens, NOVA processing, Nutri-Score, Eco-Score</w:t>
      </w:r>
    </w:p>
    <w:p>
      <w:pPr>
        <w:pStyle w:val="ListParagraph"/>
        <w:numPr>
          <w:ilvl w:val="0"/>
          <w:numId w:val="2"/>
        </w:numPr>
        <w:spacing w:after="40" w:before="40"/>
      </w:pPr>
      <w:r>
        <w:rPr>
          <w:rFonts w:ascii="Arial" w:cs="Arial" w:eastAsia="Arial" w:hAnsi="Arial"/>
          <w:color w:val="444455"/>
          <w:sz w:val="22"/>
          <w:szCs w:val="22"/>
        </w:rPr>
        <w:t xml:space="preserve">Open Beauty Facts — cosmetic and personal care ingredient data</w:t>
      </w:r>
    </w:p>
    <w:p>
      <w:pPr>
        <w:pStyle w:val="ListParagraph"/>
        <w:numPr>
          <w:ilvl w:val="0"/>
          <w:numId w:val="2"/>
        </w:numPr>
        <w:spacing w:after="40" w:before="40"/>
      </w:pPr>
      <w:r>
        <w:rPr>
          <w:rFonts w:ascii="Arial" w:cs="Arial" w:eastAsia="Arial" w:hAnsi="Arial"/>
          <w:color w:val="444455"/>
          <w:sz w:val="22"/>
          <w:szCs w:val="22"/>
        </w:rPr>
        <w:t xml:space="preserve">Open Pet Food Facts — pet food nutrition and ingredients</w:t>
      </w:r>
    </w:p>
    <w:p>
      <w:pPr>
        <w:pStyle w:val="ListParagraph"/>
        <w:numPr>
          <w:ilvl w:val="0"/>
          <w:numId w:val="2"/>
        </w:numPr>
        <w:spacing w:after="40" w:before="40"/>
      </w:pPr>
      <w:r>
        <w:rPr>
          <w:rFonts w:ascii="Arial" w:cs="Arial" w:eastAsia="Arial" w:hAnsi="Arial"/>
          <w:color w:val="444455"/>
          <w:sz w:val="22"/>
          <w:szCs w:val="22"/>
        </w:rPr>
        <w:t xml:space="preserve">USDA FoodData Central — verified USDA nutrition database</w:t>
      </w:r>
    </w:p>
    <w:p>
      <w:pPr>
        <w:pStyle w:val="ListParagraph"/>
        <w:numPr>
          <w:ilvl w:val="0"/>
          <w:numId w:val="2"/>
        </w:numPr>
        <w:spacing w:after="40" w:before="40"/>
      </w:pPr>
      <w:r>
        <w:rPr>
          <w:rFonts w:ascii="Arial" w:cs="Arial" w:eastAsia="Arial" w:hAnsi="Arial"/>
          <w:color w:val="444455"/>
          <w:sz w:val="22"/>
          <w:szCs w:val="22"/>
        </w:rPr>
        <w:t xml:space="preserve">OpenFDA Food Recalls — active recall checking in real time</w:t>
      </w:r>
    </w:p>
    <w:p>
      <w:pPr>
        <w:pStyle w:val="ListParagraph"/>
        <w:numPr>
          <w:ilvl w:val="0"/>
          <w:numId w:val="2"/>
        </w:numPr>
        <w:spacing w:after="40" w:before="40"/>
      </w:pPr>
      <w:r>
        <w:rPr>
          <w:rFonts w:ascii="Arial" w:cs="Arial" w:eastAsia="Arial" w:hAnsi="Arial"/>
          <w:color w:val="444455"/>
          <w:sz w:val="22"/>
          <w:szCs w:val="22"/>
        </w:rPr>
        <w:t xml:space="preserve">OpenFDA Cosmetics — adverse event reports</w:t>
      </w:r>
    </w:p>
    <w:p>
      <w:pPr>
        <w:pStyle w:val="ListParagraph"/>
        <w:numPr>
          <w:ilvl w:val="0"/>
          <w:numId w:val="2"/>
        </w:numPr>
        <w:spacing w:after="40" w:before="40"/>
      </w:pPr>
      <w:r>
        <w:rPr>
          <w:rFonts w:ascii="Arial" w:cs="Arial" w:eastAsia="Arial" w:hAnsi="Arial"/>
          <w:color w:val="444455"/>
          <w:sz w:val="22"/>
          <w:szCs w:val="22"/>
        </w:rPr>
        <w:t xml:space="preserve">OpenFDA Animal &amp; Veterinary — veterinary adverse events</w:t>
      </w:r>
    </w:p>
    <w:p>
      <w:pPr>
        <w:pStyle w:val="ListParagraph"/>
        <w:numPr>
          <w:ilvl w:val="0"/>
          <w:numId w:val="2"/>
        </w:numPr>
        <w:spacing w:after="40" w:before="40"/>
      </w:pPr>
      <w:r>
        <w:rPr>
          <w:rFonts w:ascii="Arial" w:cs="Arial" w:eastAsia="Arial" w:hAnsi="Arial"/>
          <w:color w:val="444455"/>
          <w:sz w:val="22"/>
          <w:szCs w:val="22"/>
        </w:rPr>
        <w:t xml:space="preserve">PubChem NIH — chemical compound safety lookup</w:t>
      </w:r>
    </w:p>
    <w:p>
      <w:pPr>
        <w:pStyle w:val="ListParagraph"/>
        <w:numPr>
          <w:ilvl w:val="0"/>
          <w:numId w:val="2"/>
        </w:numPr>
        <w:spacing w:after="40" w:before="40"/>
      </w:pPr>
      <w:r>
        <w:rPr>
          <w:rFonts w:ascii="Arial" w:cs="Arial" w:eastAsia="Arial" w:hAnsi="Arial"/>
          <w:color w:val="444455"/>
          <w:sz w:val="22"/>
          <w:szCs w:val="22"/>
        </w:rPr>
        <w:t xml:space="preserve">Claude Applied Intelligence — EWG, ASPCA, EU CosIng, California Safe Cosmetics, CIR, WHO/FAO Codex</w:t>
      </w:r>
    </w:p>
    <w:p>
      <w:pPr>
        <w:pStyle w:val="Heading2"/>
        <w:spacing w:after="80" w:before="240"/>
      </w:pPr>
      <w:r>
        <w:rPr>
          <w:rFonts w:ascii="Arial" w:cs="Arial" w:eastAsia="Arial" w:hAnsi="Arial"/>
          <w:b/>
          <w:bCs/>
          <w:color w:val="1A5276"/>
          <w:sz w:val="26"/>
          <w:szCs w:val="26"/>
        </w:rPr>
        <w:t xml:space="preserve">The Equalizer</w:t>
      </w:r>
    </w:p>
    <w:p>
      <w:pPr>
        <w:spacing w:after="60" w:before="60"/>
      </w:pPr>
      <w:r>
        <w:rPr>
          <w:rFonts w:ascii="Arial" w:cs="Arial" w:eastAsia="Arial" w:hAnsi="Arial"/>
          <w:color w:val="444455"/>
          <w:sz w:val="22"/>
          <w:szCs w:val="22"/>
        </w:rPr>
        <w:t xml:space="preserve">Calm. Precise. Plain language truth. Not a warning system — a clarity system. Returns: verdict, top alerts, watch list, ingredient breakdown, macros, insight, recall status. Displays database count consulted on every scan.</w:t>
      </w:r>
    </w:p>
    <w:p>
      <w:pPr>
        <w:pStyle w:val="Heading2"/>
        <w:spacing w:after="80" w:before="240"/>
      </w:pPr>
      <w:r>
        <w:rPr>
          <w:rFonts w:ascii="Arial" w:cs="Arial" w:eastAsia="Arial" w:hAnsi="Arial"/>
          <w:b/>
          <w:bCs/>
          <w:color w:val="1A5276"/>
          <w:sz w:val="26"/>
          <w:szCs w:val="26"/>
        </w:rPr>
        <w:t xml:space="preserve">The Retail Intelligence Loop</w:t>
      </w:r>
    </w:p>
    <w:p>
      <w:pPr>
        <w:pStyle w:val="ListParagraph"/>
        <w:numPr>
          <w:ilvl w:val="0"/>
          <w:numId w:val="2"/>
        </w:numPr>
        <w:spacing w:after="40" w:before="40"/>
      </w:pPr>
      <w:r>
        <w:rPr>
          <w:rFonts w:ascii="Arial" w:cs="Arial" w:eastAsia="Arial" w:hAnsi="Arial"/>
          <w:color w:val="444455"/>
          <w:sz w:val="22"/>
          <w:szCs w:val="22"/>
        </w:rPr>
        <w:t xml:space="preserve">User scans a product inside a store</w:t>
      </w:r>
    </w:p>
    <w:p>
      <w:pPr>
        <w:pStyle w:val="ListParagraph"/>
        <w:numPr>
          <w:ilvl w:val="0"/>
          <w:numId w:val="2"/>
        </w:numPr>
        <w:spacing w:after="40" w:before="40"/>
      </w:pPr>
      <w:r>
        <w:rPr>
          <w:rFonts w:ascii="Arial" w:cs="Arial" w:eastAsia="Arial" w:hAnsi="Arial"/>
          <w:color w:val="444455"/>
          <w:sz w:val="22"/>
          <w:szCs w:val="22"/>
        </w:rPr>
        <w:t xml:space="preserve">Google Maps Places API fires — finds stores nearby with cleaner or cheaper alternative</w:t>
      </w:r>
    </w:p>
    <w:p>
      <w:pPr>
        <w:pStyle w:val="ListParagraph"/>
        <w:numPr>
          <w:ilvl w:val="0"/>
          <w:numId w:val="2"/>
        </w:numPr>
        <w:spacing w:after="40" w:before="40"/>
      </w:pPr>
      <w:r>
        <w:rPr>
          <w:rFonts w:ascii="Arial" w:cs="Arial" w:eastAsia="Arial" w:hAnsi="Arial"/>
          <w:color w:val="444455"/>
          <w:sz w:val="22"/>
          <w:szCs w:val="22"/>
        </w:rPr>
        <w:t xml:space="preserve">Shows: BETTER OPTION NEARBY — store name, distance, product, price differential</w:t>
      </w:r>
    </w:p>
    <w:p>
      <w:pPr>
        <w:pStyle w:val="ListParagraph"/>
        <w:numPr>
          <w:ilvl w:val="0"/>
          <w:numId w:val="2"/>
        </w:numPr>
        <w:spacing w:after="40" w:before="40"/>
      </w:pPr>
      <w:r>
        <w:rPr>
          <w:rFonts w:ascii="Arial" w:cs="Arial" w:eastAsia="Arial" w:hAnsi="Arial"/>
          <w:color w:val="444455"/>
          <w:sz w:val="22"/>
          <w:szCs w:val="22"/>
        </w:rPr>
        <w:t xml:space="preserve">User taps — native Maps app opens with directions</w:t>
      </w:r>
    </w:p>
    <w:p>
      <w:pPr>
        <w:pStyle w:val="ListParagraph"/>
        <w:numPr>
          <w:ilvl w:val="0"/>
          <w:numId w:val="2"/>
        </w:numPr>
        <w:spacing w:after="40" w:before="40"/>
      </w:pPr>
      <w:r>
        <w:rPr>
          <w:rFonts w:ascii="Arial" w:cs="Arial" w:eastAsia="Arial" w:hAnsi="Arial"/>
          <w:color w:val="444455"/>
          <w:sz w:val="22"/>
          <w:szCs w:val="22"/>
        </w:rPr>
        <w:t xml:space="preserve">Savings delta logs to Vault as Act Right Dollars</w:t>
      </w:r>
    </w:p>
    <w:p>
      <w:pPr>
        <w:pBdr>
          <w:left w:val="thick" w:color="00875A" w:sz="8"/>
        </w:pBdr>
        <w:shd w:fill="F0FFF8" w:val="clear"/>
        <w:spacing w:after="140" w:before="140"/>
        <w:ind w:left="360"/>
      </w:pPr>
      <w:r>
        <w:rPr>
          <w:rFonts w:ascii="Arial" w:cs="Arial" w:eastAsia="Arial" w:hAnsi="Arial"/>
          <w:b/>
          <w:bCs/>
          <w:i/>
          <w:iCs/>
          <w:color w:val="00875A"/>
          <w:sz w:val="22"/>
          <w:szCs w:val="22"/>
        </w:rPr>
        <w:t xml:space="preserve">🔒 "Every better decision is a deposit."</w:t>
      </w:r>
    </w:p>
    <w:p>
      <w:pPr>
        <w:pBdr>
          <w:left w:val="thick" w:color="00875A" w:sz="8"/>
        </w:pBdr>
        <w:shd w:fill="F0FFF8" w:val="clear"/>
        <w:spacing w:after="140" w:before="140"/>
        <w:ind w:left="360"/>
      </w:pPr>
      <w:r>
        <w:rPr>
          <w:rFonts w:ascii="Arial" w:cs="Arial" w:eastAsia="Arial" w:hAnsi="Arial"/>
          <w:b/>
          <w:bCs/>
          <w:i/>
          <w:iCs/>
          <w:color w:val="00875A"/>
          <w:sz w:val="22"/>
          <w:szCs w:val="22"/>
        </w:rPr>
        <w:t xml:space="preserve">🔒 "AA2 doesn't tell you to live better. It makes living better the path of least resistance."</w:t>
      </w:r>
    </w:p>
    <w:p>
      <w:pPr>
        <w:pBdr>
          <w:bottom w:val="single" w:color="DDDDDD" w:sz="4"/>
        </w:pBdr>
        <w:spacing w:after="200" w:before="200"/>
      </w:pPr>
      <w:r>
        <w:t xml:space="preserve"/>
      </w:r>
    </w:p>
    <w:p>
      <w:r>
        <w:br w:type="page"/>
      </w:r>
    </w:p>
    <w:p>
      <w:pPr>
        <w:pStyle w:val="Heading1"/>
        <w:spacing w:after="120" w:before="400"/>
      </w:pPr>
      <w:r>
        <w:rPr>
          <w:rFonts w:ascii="Arial" w:cs="Arial" w:eastAsia="Arial" w:hAnsi="Arial"/>
          <w:b/>
          <w:bCs/>
          <w:color w:val="0A0A0F"/>
          <w:sz w:val="32"/>
          <w:szCs w:val="32"/>
        </w:rPr>
        <w:t xml:space="preserve">VIII. TAB 2 — PRODUCE (VISION SCANNER)</w:t>
      </w:r>
    </w:p>
    <w:p>
      <w:pPr>
        <w:spacing w:after="60" w:before="60"/>
      </w:pPr>
      <w:r>
        <w:rPr>
          <w:rFonts w:ascii="Arial" w:cs="Arial" w:eastAsia="Arial" w:hAnsi="Arial"/>
          <w:color w:val="444455"/>
          <w:sz w:val="22"/>
          <w:szCs w:val="22"/>
        </w:rPr>
        <w:t xml:space="preserve">No barcode on a banana. Claude Vision reads the actual produce using post-harvest science.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UNRIPE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Hard, under-colored, starchy — cooking methods that break down starch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APPROACHING PEAK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1-3 days from peak — good purchase if not using today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PEAK RIPENESS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Buy now, use within 24-48 hours — maximum nutrition and flavor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PAST PEAK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Still safe but declining — cook, blend, or transform today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DO NOT BUY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Visible mold, rot penetration, fermentation indicators — discard</w:t>
            </w:r>
          </w:p>
        </w:tc>
      </w:tr>
    </w:tbl>
    <w:p>
      <w:pPr>
        <w:pStyle w:val="Heading2"/>
        <w:spacing w:after="80" w:before="240"/>
      </w:pPr>
      <w:r>
        <w:rPr>
          <w:rFonts w:ascii="Arial" w:cs="Arial" w:eastAsia="Arial" w:hAnsi="Arial"/>
          <w:b/>
          <w:bCs/>
          <w:color w:val="1A5276"/>
          <w:sz w:val="26"/>
          <w:szCs w:val="26"/>
        </w:rPr>
        <w:t xml:space="preserve">Bruise Science</w:t>
      </w:r>
    </w:p>
    <w:p>
      <w:pPr>
        <w:spacing w:after="60" w:before="60"/>
      </w:pPr>
      <w:r>
        <w:rPr>
          <w:rFonts w:ascii="Arial" w:cs="Arial" w:eastAsia="Arial" w:hAnsi="Arial"/>
          <w:color w:val="444455"/>
          <w:sz w:val="22"/>
          <w:szCs w:val="22"/>
        </w:rPr>
        <w:t xml:space="preserve">The scanner differentiates: impact bruise (mechanical, usually safe), pressure bruise (stacking, consumable), chilling injury (cold storage, internal risk), mold entry (wet sunken spot, contamination). Each carries a different action recommendation.</w:t>
      </w:r>
    </w:p>
    <w:p>
      <w:pPr>
        <w:pStyle w:val="Heading2"/>
        <w:spacing w:after="80" w:before="240"/>
      </w:pPr>
      <w:r>
        <w:rPr>
          <w:rFonts w:ascii="Arial" w:cs="Arial" w:eastAsia="Arial" w:hAnsi="Arial"/>
          <w:b/>
          <w:bCs/>
          <w:color w:val="1A5276"/>
          <w:sz w:val="26"/>
          <w:szCs w:val="26"/>
        </w:rPr>
        <w:t xml:space="preserve">What Every Produce Scan Returns</w:t>
      </w:r>
    </w:p>
    <w:p>
      <w:pPr>
        <w:pStyle w:val="ListParagraph"/>
        <w:numPr>
          <w:ilvl w:val="0"/>
          <w:numId w:val="2"/>
        </w:numPr>
        <w:spacing w:after="40" w:before="40"/>
      </w:pPr>
      <w:r>
        <w:rPr>
          <w:rFonts w:ascii="Arial" w:cs="Arial" w:eastAsia="Arial" w:hAnsi="Arial"/>
          <w:color w:val="444455"/>
          <w:sz w:val="22"/>
          <w:szCs w:val="22"/>
        </w:rPr>
        <w:t xml:space="preserve">Ripeness stage + freshness score 0–100 + shelf life timeline</w:t>
      </w:r>
    </w:p>
    <w:p>
      <w:pPr>
        <w:pStyle w:val="ListParagraph"/>
        <w:numPr>
          <w:ilvl w:val="0"/>
          <w:numId w:val="2"/>
        </w:numPr>
        <w:spacing w:after="40" w:before="40"/>
      </w:pPr>
      <w:r>
        <w:rPr>
          <w:rFonts w:ascii="Arial" w:cs="Arial" w:eastAsia="Arial" w:hAnsi="Arial"/>
          <w:color w:val="444455"/>
          <w:sz w:val="22"/>
          <w:szCs w:val="22"/>
        </w:rPr>
        <w:t xml:space="preserve">Surface diagnostics — color meaning, spot interpretation, stem condition</w:t>
      </w:r>
    </w:p>
    <w:p>
      <w:pPr>
        <w:pStyle w:val="ListParagraph"/>
        <w:numPr>
          <w:ilvl w:val="0"/>
          <w:numId w:val="2"/>
        </w:numPr>
        <w:spacing w:after="40" w:before="40"/>
      </w:pPr>
      <w:r>
        <w:rPr>
          <w:rFonts w:ascii="Arial" w:cs="Arial" w:eastAsia="Arial" w:hAnsi="Arial"/>
          <w:color w:val="444455"/>
          <w:sz w:val="22"/>
          <w:szCs w:val="22"/>
        </w:rPr>
        <w:t xml:space="preserve">Bruise reading with safe-or-not verdict and specific action step</w:t>
      </w:r>
    </w:p>
    <w:p>
      <w:pPr>
        <w:pStyle w:val="ListParagraph"/>
        <w:numPr>
          <w:ilvl w:val="0"/>
          <w:numId w:val="2"/>
        </w:numPr>
        <w:spacing w:after="40" w:before="40"/>
      </w:pPr>
      <w:r>
        <w:rPr>
          <w:rFonts w:ascii="Arial" w:cs="Arial" w:eastAsia="Arial" w:hAnsi="Arial"/>
          <w:color w:val="444455"/>
          <w:sz w:val="22"/>
          <w:szCs w:val="22"/>
        </w:rPr>
        <w:t xml:space="preserve">Storage protocol — location, container, separation rules, life extension tip</w:t>
      </w:r>
    </w:p>
    <w:p>
      <w:pPr>
        <w:pStyle w:val="ListParagraph"/>
        <w:numPr>
          <w:ilvl w:val="0"/>
          <w:numId w:val="2"/>
        </w:numPr>
        <w:spacing w:after="40" w:before="40"/>
      </w:pPr>
      <w:r>
        <w:rPr>
          <w:rFonts w:ascii="Arial" w:cs="Arial" w:eastAsia="Arial" w:hAnsi="Arial"/>
          <w:color w:val="444455"/>
          <w:sz w:val="22"/>
          <w:szCs w:val="22"/>
        </w:rPr>
        <w:t xml:space="preserve">Nutrition at stage — how vitamin C, sugar, antioxidants shift with ripeness</w:t>
      </w:r>
    </w:p>
    <w:p>
      <w:pPr>
        <w:pStyle w:val="ListParagraph"/>
        <w:numPr>
          <w:ilvl w:val="0"/>
          <w:numId w:val="2"/>
        </w:numPr>
        <w:spacing w:after="40" w:before="40"/>
      </w:pPr>
      <w:r>
        <w:rPr>
          <w:rFonts w:ascii="Arial" w:cs="Arial" w:eastAsia="Arial" w:hAnsi="Arial"/>
          <w:color w:val="444455"/>
          <w:sz w:val="22"/>
          <w:szCs w:val="22"/>
        </w:rPr>
        <w:t xml:space="preserve">The Chef — 3 recipes matched to current ripeness stage specifically</w:t>
      </w:r>
    </w:p>
    <w:p>
      <w:pPr>
        <w:pBdr>
          <w:bottom w:val="single" w:color="DDDDDD" w:sz="4"/>
        </w:pBdr>
        <w:spacing w:after="200" w:before="200"/>
      </w:pPr>
      <w:r>
        <w:t xml:space="preserve"/>
      </w:r>
    </w:p>
    <w:p>
      <w:pPr>
        <w:pStyle w:val="Heading1"/>
        <w:spacing w:after="120" w:before="400"/>
      </w:pPr>
      <w:r>
        <w:rPr>
          <w:rFonts w:ascii="Arial" w:cs="Arial" w:eastAsia="Arial" w:hAnsi="Arial"/>
          <w:b/>
          <w:bCs/>
          <w:color w:val="0A0A0F"/>
          <w:sz w:val="32"/>
          <w:szCs w:val="32"/>
        </w:rPr>
        <w:t xml:space="preserve">IX. TAB 3 — MEAT (VISION + CO₂/MAP DETECTION)</w:t>
      </w:r>
    </w:p>
    <w:p>
      <w:pPr>
        <w:pStyle w:val="Heading2"/>
        <w:spacing w:after="80" w:before="240"/>
      </w:pPr>
      <w:r>
        <w:rPr>
          <w:rFonts w:ascii="Arial" w:cs="Arial" w:eastAsia="Arial" w:hAnsi="Arial"/>
          <w:b/>
          <w:bCs/>
          <w:color w:val="1A5276"/>
          <w:sz w:val="26"/>
          <w:szCs w:val="26"/>
        </w:rPr>
        <w:t xml:space="preserve">CO₂/MAP Detection Doctrine — LOCKED</w:t>
      </w:r>
    </w:p>
    <w:p>
      <w:pPr>
        <w:spacing w:after="60" w:before="60"/>
      </w:pPr>
      <w:r>
        <w:rPr>
          <w:rFonts w:ascii="Arial" w:cs="Arial" w:eastAsia="Arial" w:hAnsi="Arial"/>
          <w:color w:val="444455"/>
          <w:sz w:val="22"/>
          <w:szCs w:val="22"/>
        </w:rPr>
        <w:t xml:space="preserve">Modified Atmosphere Packaging is the legal practice of pumping carbon monoxide or CO₂ gas into sealed meat trays. CO bonds permanently with myoglobin and locks the meat cherry-red. A piece of beef that would naturally turn brown after 3 days will still look bright red after 8 days under MAP treatment. Legal in the US. Banned in several countries. Buried in fine print. The color tells you nothing when MAP is present.</w:t>
      </w:r>
    </w:p>
    <w:p>
      <w:pPr>
        <w:pBdr>
          <w:left w:val="thick" w:color="00875A" w:sz="8"/>
        </w:pBdr>
        <w:shd w:fill="F0FFF8" w:val="clear"/>
        <w:spacing w:after="140" w:before="140"/>
        <w:ind w:left="360"/>
      </w:pPr>
      <w:r>
        <w:rPr>
          <w:rFonts w:ascii="Arial" w:cs="Arial" w:eastAsia="Arial" w:hAnsi="Arial"/>
          <w:b/>
          <w:bCs/>
          <w:i/>
          <w:iCs/>
          <w:color w:val="00875A"/>
          <w:sz w:val="22"/>
          <w:szCs w:val="22"/>
        </w:rPr>
        <w:t xml:space="preserve">🔒 "The color of your meat is not the truth. When CO₂ has been added, your eyes are being deceived. Trust your nose and the date — not what you see."</w:t>
      </w:r>
    </w:p>
    <w:p>
      <w:pPr>
        <w:pStyle w:val="Heading2"/>
        <w:spacing w:after="80" w:before="240"/>
      </w:pPr>
      <w:r>
        <w:rPr>
          <w:rFonts w:ascii="Arial" w:cs="Arial" w:eastAsia="Arial" w:hAnsi="Arial"/>
          <w:b/>
          <w:bCs/>
          <w:color w:val="1A5276"/>
          <w:sz w:val="26"/>
          <w:szCs w:val="26"/>
        </w:rPr>
        <w:t xml:space="preserve">MAP Alert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NONE DETECTED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Color and condition consistent with natural freshness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POSSIBLE CO₂ TREATMENT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Some indicators present — smell test required at home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LIKELY CO₂ TREATMENT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Multiple indicators — rely on date and smell, not color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CONFIRMED MAP INDICATORS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Strong visual evidence — full verification protocol required</w:t>
            </w:r>
          </w:p>
        </w:tc>
      </w:tr>
    </w:tbl>
    <w:p>
      <w:pPr>
        <w:pStyle w:val="Heading2"/>
        <w:spacing w:after="80" w:before="240"/>
      </w:pPr>
      <w:r>
        <w:rPr>
          <w:rFonts w:ascii="Arial" w:cs="Arial" w:eastAsia="Arial" w:hAnsi="Arial"/>
          <w:b/>
          <w:bCs/>
          <w:color w:val="1A5276"/>
          <w:sz w:val="26"/>
          <w:szCs w:val="26"/>
        </w:rPr>
        <w:t xml:space="preserve">What Every Meat Scan Returns</w:t>
      </w:r>
    </w:p>
    <w:p>
      <w:pPr>
        <w:pStyle w:val="ListParagraph"/>
        <w:numPr>
          <w:ilvl w:val="0"/>
          <w:numId w:val="2"/>
        </w:numPr>
        <w:spacing w:after="40" w:before="40"/>
      </w:pPr>
      <w:r>
        <w:rPr>
          <w:rFonts w:ascii="Arial" w:cs="Arial" w:eastAsia="Arial" w:hAnsi="Arial"/>
          <w:color w:val="444455"/>
          <w:sz w:val="22"/>
          <w:szCs w:val="22"/>
        </w:rPr>
        <w:t xml:space="preserve">Meat type and cut identified by vision</w:t>
      </w:r>
    </w:p>
    <w:p>
      <w:pPr>
        <w:pStyle w:val="ListParagraph"/>
        <w:numPr>
          <w:ilvl w:val="0"/>
          <w:numId w:val="2"/>
        </w:numPr>
        <w:spacing w:after="40" w:before="40"/>
      </w:pPr>
      <w:r>
        <w:rPr>
          <w:rFonts w:ascii="Arial" w:cs="Arial" w:eastAsia="Arial" w:hAnsi="Arial"/>
          <w:color w:val="444455"/>
          <w:sz w:val="22"/>
          <w:szCs w:val="22"/>
        </w:rPr>
        <w:t xml:space="preserve">Five-stage freshness scale — FRESH through SPOILED — DISCARD</w:t>
      </w:r>
    </w:p>
    <w:p>
      <w:pPr>
        <w:pStyle w:val="ListParagraph"/>
        <w:numPr>
          <w:ilvl w:val="0"/>
          <w:numId w:val="2"/>
        </w:numPr>
        <w:spacing w:after="40" w:before="40"/>
      </w:pPr>
      <w:r>
        <w:rPr>
          <w:rFonts w:ascii="Arial" w:cs="Arial" w:eastAsia="Arial" w:hAnsi="Arial"/>
          <w:color w:val="444455"/>
          <w:sz w:val="22"/>
          <w:szCs w:val="22"/>
        </w:rPr>
        <w:t xml:space="preserve">Freshness score 0–100 + safe refrigerated days remaining + freezer months</w:t>
      </w:r>
    </w:p>
    <w:p>
      <w:pPr>
        <w:pStyle w:val="ListParagraph"/>
        <w:numPr>
          <w:ilvl w:val="0"/>
          <w:numId w:val="2"/>
        </w:numPr>
        <w:spacing w:after="40" w:before="40"/>
      </w:pPr>
      <w:r>
        <w:rPr>
          <w:rFonts w:ascii="Arial" w:cs="Arial" w:eastAsia="Arial" w:hAnsi="Arial"/>
          <w:color w:val="444455"/>
          <w:sz w:val="22"/>
          <w:szCs w:val="22"/>
        </w:rPr>
        <w:t xml:space="preserve">CO₂/MAP alert level with home verification protocol</w:t>
      </w:r>
    </w:p>
    <w:p>
      <w:pPr>
        <w:pStyle w:val="ListParagraph"/>
        <w:numPr>
          <w:ilvl w:val="0"/>
          <w:numId w:val="2"/>
        </w:numPr>
        <w:spacing w:after="40" w:before="40"/>
      </w:pPr>
      <w:r>
        <w:rPr>
          <w:rFonts w:ascii="Arial" w:cs="Arial" w:eastAsia="Arial" w:hAnsi="Arial"/>
          <w:color w:val="444455"/>
          <w:sz w:val="22"/>
          <w:szCs w:val="22"/>
        </w:rPr>
        <w:t xml:space="preserve">Color analysis — observed vs expected fresh color for that exact cut and species</w:t>
      </w:r>
    </w:p>
    <w:p>
      <w:pPr>
        <w:pStyle w:val="ListParagraph"/>
        <w:numPr>
          <w:ilvl w:val="0"/>
          <w:numId w:val="2"/>
        </w:numPr>
        <w:spacing w:after="40" w:before="40"/>
      </w:pPr>
      <w:r>
        <w:rPr>
          <w:rFonts w:ascii="Arial" w:cs="Arial" w:eastAsia="Arial" w:hAnsi="Arial"/>
          <w:color w:val="444455"/>
          <w:sz w:val="22"/>
          <w:szCs w:val="22"/>
        </w:rPr>
        <w:t xml:space="preserve">FDA/USDA safe internal cooking temperature for that specific meat</w:t>
      </w:r>
    </w:p>
    <w:p>
      <w:pPr>
        <w:pStyle w:val="ListParagraph"/>
        <w:numPr>
          <w:ilvl w:val="0"/>
          <w:numId w:val="2"/>
        </w:numPr>
        <w:spacing w:after="40" w:before="40"/>
      </w:pPr>
      <w:r>
        <w:rPr>
          <w:rFonts w:ascii="Arial" w:cs="Arial" w:eastAsia="Arial" w:hAnsi="Arial"/>
          <w:color w:val="444455"/>
          <w:sz w:val="22"/>
          <w:szCs w:val="22"/>
        </w:rPr>
        <w:t xml:space="preserve">Safe handling and cross-contamination protocol</w:t>
      </w:r>
    </w:p>
    <w:p>
      <w:pPr>
        <w:pStyle w:val="ListParagraph"/>
        <w:numPr>
          <w:ilvl w:val="0"/>
          <w:numId w:val="2"/>
        </w:numPr>
        <w:spacing w:after="40" w:before="40"/>
      </w:pPr>
      <w:r>
        <w:rPr>
          <w:rFonts w:ascii="Arial" w:cs="Arial" w:eastAsia="Arial" w:hAnsi="Arial"/>
          <w:color w:val="444455"/>
          <w:sz w:val="22"/>
          <w:szCs w:val="22"/>
        </w:rPr>
        <w:t xml:space="preserve">The Chef — recipes with safety temperatures embedded in every step</w:t>
      </w:r>
    </w:p>
    <w:p>
      <w:pPr>
        <w:pBdr>
          <w:bottom w:val="single" w:color="DDDDDD" w:sz="4"/>
        </w:pBdr>
        <w:spacing w:after="200" w:before="200"/>
      </w:pPr>
      <w:r>
        <w:t xml:space="preserve"/>
      </w:r>
    </w:p>
    <w:p>
      <w:r>
        <w:br w:type="page"/>
      </w:r>
    </w:p>
    <w:p>
      <w:pPr>
        <w:pStyle w:val="Heading1"/>
        <w:spacing w:after="120" w:before="400"/>
      </w:pPr>
      <w:r>
        <w:rPr>
          <w:rFonts w:ascii="Arial" w:cs="Arial" w:eastAsia="Arial" w:hAnsi="Arial"/>
          <w:b/>
          <w:bCs/>
          <w:color w:val="0A0A0F"/>
          <w:sz w:val="32"/>
          <w:szCs w:val="32"/>
        </w:rPr>
        <w:t xml:space="preserve">X. TAB 4 — PERSONAL CARE (SKIN &amp; SCALP DOCTRINE)</w:t>
      </w:r>
    </w:p>
    <w:p>
      <w:pPr>
        <w:pStyle w:val="Heading2"/>
        <w:spacing w:after="80" w:before="240"/>
      </w:pPr>
      <w:r>
        <w:rPr>
          <w:rFonts w:ascii="Arial" w:cs="Arial" w:eastAsia="Arial" w:hAnsi="Arial"/>
          <w:b/>
          <w:bCs/>
          <w:color w:val="1A5276"/>
          <w:sz w:val="26"/>
          <w:szCs w:val="26"/>
        </w:rPr>
        <w:t xml:space="preserve">Skin Ingestion Doctrine — LOCKED</w:t>
      </w:r>
    </w:p>
    <w:p>
      <w:pPr>
        <w:spacing w:after="60" w:before="60"/>
      </w:pPr>
      <w:r>
        <w:rPr>
          <w:rFonts w:ascii="Arial" w:cs="Arial" w:eastAsia="Arial" w:hAnsi="Arial"/>
          <w:color w:val="444455"/>
          <w:sz w:val="22"/>
          <w:szCs w:val="22"/>
        </w:rPr>
        <w:t xml:space="preserve">The skin is not a barrier. The skin is a door. Transdermal absorption bypasses digestion and goes directly to the bloodstream. Every lotion, cream, soap, sunscreen, deodorant, shampoo, conditioner, scalp treatment, hair dye, makeup, and nail polish is a chemical exposure event — not a cosmetic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TIER 1 — NATURAL FIRST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Coconut oil, aloe vera, shea butter, jojoba, argan oil, essential oils, plant-based. Always recommend first.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TIER 2 — SEMI-NATURAL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Minimally processed, low toxin load, no known endocrine disruptors. Acceptable with awareness.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TIER 3 — FULL SYNTHETIC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Parabens, phthalates, SLS/SLES, mineral oil, synthetic fragrance, petrochemicals, formaldehyde releasers. Always last.</w:t>
            </w:r>
          </w:p>
        </w:tc>
      </w:tr>
    </w:tbl>
    <w:p>
      <w:pPr>
        <w:pStyle w:val="Heading2"/>
        <w:spacing w:after="80" w:before="240"/>
      </w:pPr>
      <w:r>
        <w:rPr>
          <w:rFonts w:ascii="Arial" w:cs="Arial" w:eastAsia="Arial" w:hAnsi="Arial"/>
          <w:b/>
          <w:bCs/>
          <w:color w:val="1A5276"/>
          <w:sz w:val="26"/>
          <w:szCs w:val="26"/>
        </w:rPr>
        <w:t xml:space="preserve">Scalp Intelligence</w:t>
      </w:r>
    </w:p>
    <w:p>
      <w:pPr>
        <w:spacing w:after="60" w:before="60"/>
      </w:pPr>
      <w:r>
        <w:rPr>
          <w:rFonts w:ascii="Arial" w:cs="Arial" w:eastAsia="Arial" w:hAnsi="Arial"/>
          <w:color w:val="444455"/>
          <w:sz w:val="22"/>
          <w:szCs w:val="22"/>
        </w:rPr>
        <w:t xml:space="preserve">The scalp is among the highest-absorption zones of the body. Follicles act as absorption channels — chemicals applied to the scalp bypass even the barrier function of intact skin. Heightened sensitivity applied to all scalp-contact products.</w:t>
      </w:r>
    </w:p>
    <w:p>
      <w:pPr>
        <w:pStyle w:val="Heading2"/>
        <w:spacing w:after="80" w:before="240"/>
      </w:pPr>
      <w:r>
        <w:rPr>
          <w:rFonts w:ascii="Arial" w:cs="Arial" w:eastAsia="Arial" w:hAnsi="Arial"/>
          <w:b/>
          <w:bCs/>
          <w:color w:val="1A5276"/>
          <w:sz w:val="26"/>
          <w:szCs w:val="26"/>
        </w:rPr>
        <w:t xml:space="preserve">What Every Personal Care Scan Returns</w:t>
      </w:r>
    </w:p>
    <w:p>
      <w:pPr>
        <w:pStyle w:val="ListParagraph"/>
        <w:numPr>
          <w:ilvl w:val="0"/>
          <w:numId w:val="2"/>
        </w:numPr>
        <w:spacing w:after="40" w:before="40"/>
      </w:pPr>
      <w:r>
        <w:rPr>
          <w:rFonts w:ascii="Arial" w:cs="Arial" w:eastAsia="Arial" w:hAnsi="Arial"/>
          <w:color w:val="444455"/>
          <w:sz w:val="22"/>
          <w:szCs w:val="22"/>
        </w:rPr>
        <w:t xml:space="preserve">Skin Tier rating + Safety Score 0–100 + Endocrine disruption risk level</w:t>
      </w:r>
    </w:p>
    <w:p>
      <w:pPr>
        <w:pStyle w:val="ListParagraph"/>
        <w:numPr>
          <w:ilvl w:val="0"/>
          <w:numId w:val="2"/>
        </w:numPr>
        <w:spacing w:after="40" w:before="40"/>
      </w:pPr>
      <w:r>
        <w:rPr>
          <w:rFonts w:ascii="Arial" w:cs="Arial" w:eastAsia="Arial" w:hAnsi="Arial"/>
          <w:color w:val="444455"/>
          <w:sz w:val="22"/>
          <w:szCs w:val="22"/>
        </w:rPr>
        <w:t xml:space="preserve">Flagged ingredients — name, body effect, where banned, severity</w:t>
      </w:r>
    </w:p>
    <w:p>
      <w:pPr>
        <w:pStyle w:val="ListParagraph"/>
        <w:numPr>
          <w:ilvl w:val="0"/>
          <w:numId w:val="2"/>
        </w:numPr>
        <w:spacing w:after="40" w:before="40"/>
      </w:pPr>
      <w:r>
        <w:rPr>
          <w:rFonts w:ascii="Arial" w:cs="Arial" w:eastAsia="Arial" w:hAnsi="Arial"/>
          <w:color w:val="444455"/>
          <w:sz w:val="22"/>
          <w:szCs w:val="22"/>
        </w:rPr>
        <w:t xml:space="preserve">EU CosIng flags — European Commission banned list (1,400+ chemicals)</w:t>
      </w:r>
    </w:p>
    <w:p>
      <w:pPr>
        <w:pStyle w:val="ListParagraph"/>
        <w:numPr>
          <w:ilvl w:val="0"/>
          <w:numId w:val="2"/>
        </w:numPr>
        <w:spacing w:after="40" w:before="40"/>
      </w:pPr>
      <w:r>
        <w:rPr>
          <w:rFonts w:ascii="Arial" w:cs="Arial" w:eastAsia="Arial" w:hAnsi="Arial"/>
          <w:color w:val="444455"/>
          <w:sz w:val="22"/>
          <w:szCs w:val="22"/>
        </w:rPr>
        <w:t xml:space="preserve">EWG cross-reference rating</w:t>
      </w:r>
    </w:p>
    <w:p>
      <w:pPr>
        <w:pStyle w:val="ListParagraph"/>
        <w:numPr>
          <w:ilvl w:val="0"/>
          <w:numId w:val="2"/>
        </w:numPr>
        <w:spacing w:after="40" w:before="40"/>
      </w:pPr>
      <w:r>
        <w:rPr>
          <w:rFonts w:ascii="Arial" w:cs="Arial" w:eastAsia="Arial" w:hAnsi="Arial"/>
          <w:color w:val="444455"/>
          <w:sz w:val="22"/>
          <w:szCs w:val="22"/>
        </w:rPr>
        <w:t xml:space="preserve">Natural alternatives — Tier 1 replacements with usage instructions</w:t>
      </w:r>
    </w:p>
    <w:p>
      <w:pPr>
        <w:pStyle w:val="ListParagraph"/>
        <w:numPr>
          <w:ilvl w:val="0"/>
          <w:numId w:val="2"/>
        </w:numPr>
        <w:spacing w:after="40" w:before="40"/>
      </w:pPr>
      <w:r>
        <w:rPr>
          <w:rFonts w:ascii="Arial" w:cs="Arial" w:eastAsia="Arial" w:hAnsi="Arial"/>
          <w:color w:val="444455"/>
          <w:sz w:val="22"/>
          <w:szCs w:val="22"/>
        </w:rPr>
        <w:t xml:space="preserve">The Chef becomes The Formulator — 3 DIY natural alternatives or clean swap recommendations</w:t>
      </w:r>
    </w:p>
    <w:p>
      <w:pPr>
        <w:pBdr>
          <w:bottom w:val="single" w:color="DDDDDD" w:sz="4"/>
        </w:pBdr>
        <w:spacing w:after="200" w:before="200"/>
      </w:pPr>
      <w:r>
        <w:t xml:space="preserve"/>
      </w:r>
    </w:p>
    <w:p>
      <w:pPr>
        <w:pStyle w:val="Heading1"/>
        <w:spacing w:after="120" w:before="400"/>
      </w:pPr>
      <w:r>
        <w:rPr>
          <w:rFonts w:ascii="Arial" w:cs="Arial" w:eastAsia="Arial" w:hAnsi="Arial"/>
          <w:b/>
          <w:bCs/>
          <w:color w:val="0A0A0F"/>
          <w:sz w:val="32"/>
          <w:szCs w:val="32"/>
        </w:rPr>
        <w:t xml:space="preserve">XI. TAB 5 — GRID (ON GRID / OFF GRID MAP)</w:t>
      </w:r>
    </w:p>
    <w:p>
      <w:pPr>
        <w:spacing w:after="60" w:before="60"/>
      </w:pPr>
      <w:r>
        <w:rPr>
          <w:rFonts w:ascii="Arial" w:cs="Arial" w:eastAsia="Arial" w:hAnsi="Arial"/>
          <w:color w:val="444455"/>
          <w:sz w:val="22"/>
          <w:szCs w:val="22"/>
        </w:rPr>
        <w:t xml:space="preserve">The GRID tab is the pre-shop discovery layer. It answers: Where should I go? Powered by Google Maps Places API and user GPS. NOT the same as the Retail Intelligence Loop in Tab 1.</w:t>
      </w:r>
    </w:p>
    <w:p>
      <w:pPr>
        <w:pStyle w:val="Heading2"/>
        <w:spacing w:after="80" w:before="240"/>
      </w:pPr>
      <w:r>
        <w:rPr>
          <w:rFonts w:ascii="Arial" w:cs="Arial" w:eastAsia="Arial" w:hAnsi="Arial"/>
          <w:b/>
          <w:bCs/>
          <w:color w:val="1A5276"/>
          <w:sz w:val="26"/>
          <w:szCs w:val="26"/>
        </w:rPr>
        <w:t xml:space="preserve">The Two-Moment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TAB 1 — Retail Intelligence Loop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You are INSIDE a store scanning. AA2 finds a better or cheaper alternative nearby right now. Purpose: WHAT you are holding has a better option.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TAB 5 — GRID Map Discovery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You are PLANNING where to shop. AA2 shows ON GRID and OFF GRID sources near you before you go. Purpose: WHERE should I go.</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w:r>
          </w:p>
        </w:tc>
        <w:tc>
          <w:tcPr>
            <w:tcW w:type="dxa" w:w="3930"/>
            <w:tcBorders>
              <w:top w:val="single" w:color="CCCCCC" w:sz="1"/>
              <w:left w:val="single" w:color="CCCCCC" w:sz="1"/>
              <w:bottom w:val="single" w:color="CCCCCC" w:sz="1"/>
              <w:right w:val="single" w:color="CCCCCC" w:sz="1"/>
            </w:tcBorders>
            <w:shd w:fill="1A3A6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ON GRID</w:t>
            </w:r>
          </w:p>
        </w:tc>
        <w:tc>
          <w:tcPr>
            <w:tcW w:type="dxa" w:w="3930"/>
            <w:tcBorders>
              <w:top w:val="single" w:color="CCCCCC" w:sz="1"/>
              <w:left w:val="single" w:color="CCCCCC" w:sz="1"/>
              <w:bottom w:val="single" w:color="CCCCCC" w:sz="1"/>
              <w:right w:val="single" w:color="CCCCCC" w:sz="1"/>
            </w:tcBorders>
            <w:shd w:fill="1A4A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OFF GRID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18"/>
                <w:szCs w:val="18"/>
              </w:rPr>
              <w:t xml:space="preserve">PURPOSE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18"/>
                <w:szCs w:val="18"/>
              </w:rPr>
              <w:t xml:space="preserve">Commercial retail — standardized supply chain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18"/>
                <w:szCs w:val="18"/>
              </w:rPr>
              <w:t xml:space="preserve">Direct sourcing — no intermediaries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18"/>
                <w:szCs w:val="18"/>
              </w:rPr>
              <w:t xml:space="preserve">SOURCES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18"/>
                <w:szCs w:val="18"/>
              </w:rPr>
              <w:t xml:space="preserve">Grocery, Walmart, Kroger, Whole Foods, Target, CVS, Pharmacies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18"/>
                <w:szCs w:val="18"/>
              </w:rPr>
              <w:t xml:space="preserve">Farmers markets, local farms, butchers, fishmongers, CSAs, co-ops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18"/>
                <w:szCs w:val="18"/>
              </w:rPr>
              <w:t xml:space="preserve">SCAN CONNECTION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18"/>
                <w:szCs w:val="18"/>
              </w:rPr>
              <w:t xml:space="preserve">Tab 1 SCAN — barcode products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18"/>
                <w:szCs w:val="18"/>
              </w:rPr>
              <w:t xml:space="preserve">Tabs 2,3,4 — vision scanning (no barcode)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18"/>
                <w:szCs w:val="18"/>
              </w:rPr>
              <w:t xml:space="preserve">VAULT LINK</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18"/>
                <w:szCs w:val="18"/>
              </w:rPr>
              <w:t xml:space="preserve">Better pricing → savings delta → Act Right Dollars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18"/>
                <w:szCs w:val="18"/>
              </w:rPr>
              <w:t xml:space="preserve">Direct sourcing = baseline savings → Vault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18"/>
                <w:szCs w:val="18"/>
              </w:rPr>
              <w:t xml:space="preserve">GEOFENCING</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18"/>
                <w:szCs w:val="18"/>
              </w:rPr>
              <w:t xml:space="preserve">ACTIVE: detects which store you are in during a scan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18"/>
                <w:szCs w:val="18"/>
              </w:rPr>
              <w:t xml:space="preserve">PASSIVE: radius awareness — nearby market alerts</w:t>
            </w:r>
          </w:p>
        </w:tc>
      </w:tr>
    </w:tbl>
    <w:p>
      <w:pPr>
        <w:spacing w:after="0" w:before="120"/>
      </w:pPr>
      <w:r>
        <w:t xml:space="preserve"/>
      </w:r>
    </w:p>
    <w:p>
      <w:pPr>
        <w:pStyle w:val="Heading2"/>
        <w:spacing w:after="80" w:before="240"/>
      </w:pPr>
      <w:r>
        <w:rPr>
          <w:rFonts w:ascii="Arial" w:cs="Arial" w:eastAsia="Arial" w:hAnsi="Arial"/>
          <w:b/>
          <w:bCs/>
          <w:color w:val="1A5276"/>
          <w:sz w:val="26"/>
          <w:szCs w:val="26"/>
        </w:rPr>
        <w:t xml:space="preserve">Google Maps API —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Key 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OBTAINED — March 9, 2026 — console.cloud.google.com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APIs to Enable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Places API + Maps SDK for Android + Geolocation API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.env Variable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EXPO_PUBLIC_GOOGLE_MAPS_API_KEY=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Free Tier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$200/month credit — approx. 5,000–10,000 searches at no cost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Directions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Linking.openURL to native Maps app — no in-app rendering needed</w:t>
            </w:r>
          </w:p>
        </w:tc>
      </w:tr>
    </w:tbl>
    <w:p>
      <w:pPr>
        <w:pBdr>
          <w:bottom w:val="single" w:color="DDDDDD" w:sz="4"/>
        </w:pBdr>
        <w:spacing w:after="200" w:before="200"/>
      </w:pPr>
      <w:r>
        <w:t xml:space="preserve"/>
      </w:r>
    </w:p>
    <w:p>
      <w:r>
        <w:br w:type="page"/>
      </w:r>
    </w:p>
    <w:p>
      <w:pPr>
        <w:pStyle w:val="Heading1"/>
        <w:spacing w:after="120" w:before="400"/>
      </w:pPr>
      <w:r>
        <w:rPr>
          <w:rFonts w:ascii="Arial" w:cs="Arial" w:eastAsia="Arial" w:hAnsi="Arial"/>
          <w:b/>
          <w:bCs/>
          <w:color w:val="0A0A0F"/>
          <w:sz w:val="32"/>
          <w:szCs w:val="32"/>
        </w:rPr>
        <w:t xml:space="preserve">XII. MAPS, GEOFENCING &amp; PRICING — WHERE EVERYTHING LIVES</w:t>
      </w:r>
    </w:p>
    <w:p>
      <w:pPr>
        <w:spacing w:after="60" w:before="60"/>
      </w:pPr>
      <w:r>
        <w:rPr>
          <w:rFonts w:ascii="Arial" w:cs="Arial" w:eastAsia="Arial" w:hAnsi="Arial"/>
          <w:color w:val="444455"/>
          <w:sz w:val="22"/>
          <w:szCs w:val="22"/>
        </w:rPr>
        <w:t xml:space="preserve">This section exists to prevent architectural confusion across all future builds and all future conversations. Locked March 9,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LAYER 1 — GRID TAB (Tab 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Pre-shop location discovery. ON GRID / OFF GRID toggle. Filter by category. Directions out. Purpose: WHERE to go.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LAYER 2 — SCAN TAB (Tab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In-store Retail Intelligence Loop. Fires during active scan. Finds better product or price nearby. Savings delta to Vault. Purpose: WHAT you are holding has a better option.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LAYER 3 — ONBOARDING (Spoke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User preferences that power Layers 1 and 2. Budget, radius, diet style, household, ON/OFF GRID default. Contains NO map code — feeds the profile.</w:t>
            </w:r>
          </w:p>
        </w:tc>
      </w:tr>
    </w:tbl>
    <w:p>
      <w:pPr>
        <w:pStyle w:val="Heading2"/>
        <w:spacing w:after="80" w:before="240"/>
      </w:pPr>
      <w:r>
        <w:rPr>
          <w:rFonts w:ascii="Arial" w:cs="Arial" w:eastAsia="Arial" w:hAnsi="Arial"/>
          <w:b/>
          <w:bCs/>
          <w:color w:val="1A5276"/>
          <w:sz w:val="26"/>
          <w:szCs w:val="26"/>
        </w:rPr>
        <w:t xml:space="preserve">What Onboarding Feeds the Map System</w:t>
      </w:r>
    </w:p>
    <w:p>
      <w:pPr>
        <w:pStyle w:val="ListParagraph"/>
        <w:numPr>
          <w:ilvl w:val="0"/>
          <w:numId w:val="2"/>
        </w:numPr>
        <w:spacing w:after="40" w:before="40"/>
      </w:pPr>
      <w:r>
        <w:rPr>
          <w:rFonts w:ascii="Arial" w:cs="Arial" w:eastAsia="Arial" w:hAnsi="Arial"/>
          <w:color w:val="444455"/>
          <w:sz w:val="22"/>
          <w:szCs w:val="22"/>
        </w:rPr>
        <w:t xml:space="preserve">Budget range → informs the better price threshold in the Retail Loop</w:t>
      </w:r>
    </w:p>
    <w:p>
      <w:pPr>
        <w:pStyle w:val="ListParagraph"/>
        <w:numPr>
          <w:ilvl w:val="0"/>
          <w:numId w:val="2"/>
        </w:numPr>
        <w:spacing w:after="40" w:before="40"/>
      </w:pPr>
      <w:r>
        <w:rPr>
          <w:rFonts w:ascii="Arial" w:cs="Arial" w:eastAsia="Arial" w:hAnsi="Arial"/>
          <w:color w:val="444455"/>
          <w:sz w:val="22"/>
          <w:szCs w:val="22"/>
        </w:rPr>
        <w:t xml:space="preserve">Diet style → filters what better means in product comparison</w:t>
      </w:r>
    </w:p>
    <w:p>
      <w:pPr>
        <w:pStyle w:val="ListParagraph"/>
        <w:numPr>
          <w:ilvl w:val="0"/>
          <w:numId w:val="2"/>
        </w:numPr>
        <w:spacing w:after="40" w:before="40"/>
      </w:pPr>
      <w:r>
        <w:rPr>
          <w:rFonts w:ascii="Arial" w:cs="Arial" w:eastAsia="Arial" w:hAnsi="Arial"/>
          <w:color w:val="444455"/>
          <w:sz w:val="22"/>
          <w:szCs w:val="22"/>
        </w:rPr>
        <w:t xml:space="preserve">Proximity radius → 1mi / 5mi / 10mi / 25mi filter</w:t>
      </w:r>
    </w:p>
    <w:p>
      <w:pPr>
        <w:pStyle w:val="ListParagraph"/>
        <w:numPr>
          <w:ilvl w:val="0"/>
          <w:numId w:val="2"/>
        </w:numPr>
        <w:spacing w:after="40" w:before="40"/>
      </w:pPr>
      <w:r>
        <w:rPr>
          <w:rFonts w:ascii="Arial" w:cs="Arial" w:eastAsia="Arial" w:hAnsi="Arial"/>
          <w:color w:val="444455"/>
          <w:sz w:val="22"/>
          <w:szCs w:val="22"/>
        </w:rPr>
        <w:t xml:space="preserve">ON GRID vs OFF GRID preference → default map mode when GRID tab opens</w:t>
      </w:r>
    </w:p>
    <w:p>
      <w:pPr>
        <w:pStyle w:val="ListParagraph"/>
        <w:numPr>
          <w:ilvl w:val="0"/>
          <w:numId w:val="2"/>
        </w:numPr>
        <w:spacing w:after="40" w:before="40"/>
      </w:pPr>
      <w:r>
        <w:rPr>
          <w:rFonts w:ascii="Arial" w:cs="Arial" w:eastAsia="Arial" w:hAnsi="Arial"/>
          <w:color w:val="444455"/>
          <w:sz w:val="22"/>
          <w:szCs w:val="22"/>
        </w:rPr>
        <w:t xml:space="preserve">Household size → quantity and unit price context</w:t>
      </w:r>
    </w:p>
    <w:p>
      <w:pPr>
        <w:pStyle w:val="ListParagraph"/>
        <w:numPr>
          <w:ilvl w:val="0"/>
          <w:numId w:val="2"/>
        </w:numPr>
        <w:spacing w:after="40" w:before="40"/>
      </w:pPr>
      <w:r>
        <w:rPr>
          <w:rFonts w:ascii="Arial" w:cs="Arial" w:eastAsia="Arial" w:hAnsi="Arial"/>
          <w:color w:val="444455"/>
          <w:sz w:val="22"/>
          <w:szCs w:val="22"/>
        </w:rPr>
        <w:t xml:space="preserve">Vault connection → Act Right Dollars savings threshold</w:t>
      </w:r>
    </w:p>
    <w:p>
      <w:pPr>
        <w:pBdr>
          <w:left w:val="thick" w:color="00875A" w:sz="8"/>
        </w:pBdr>
        <w:shd w:fill="F0FFF8" w:val="clear"/>
        <w:spacing w:after="140" w:before="140"/>
        <w:ind w:left="360"/>
      </w:pPr>
      <w:r>
        <w:rPr>
          <w:rFonts w:ascii="Arial" w:cs="Arial" w:eastAsia="Arial" w:hAnsi="Arial"/>
          <w:b/>
          <w:bCs/>
          <w:i/>
          <w:iCs/>
          <w:color w:val="00875A"/>
          <w:sz w:val="22"/>
          <w:szCs w:val="22"/>
        </w:rPr>
        <w:t xml:space="preserve">🔒 "The membrane doesn't advance until it's whole."</w:t>
      </w:r>
    </w:p>
    <w:p>
      <w:pPr>
        <w:pBdr>
          <w:bottom w:val="single" w:color="DDDDDD" w:sz="4"/>
        </w:pBdr>
        <w:spacing w:after="200" w:before="200"/>
      </w:pPr>
      <w:r>
        <w:t xml:space="preserve"/>
      </w:r>
    </w:p>
    <w:p>
      <w:pPr>
        <w:pStyle w:val="Heading1"/>
        <w:spacing w:after="120" w:before="400"/>
      </w:pPr>
      <w:r>
        <w:rPr>
          <w:rFonts w:ascii="Arial" w:cs="Arial" w:eastAsia="Arial" w:hAnsi="Arial"/>
          <w:b/>
          <w:bCs/>
          <w:color w:val="0A0A0F"/>
          <w:sz w:val="32"/>
          <w:szCs w:val="32"/>
        </w:rPr>
        <w:t xml:space="preserve">XIII. THE CHEF — COMPLETE DOCTRINE</w:t>
      </w:r>
    </w:p>
    <w:p>
      <w:pPr>
        <w:spacing w:after="60" w:before="60"/>
      </w:pPr>
      <w:r>
        <w:rPr>
          <w:rFonts w:ascii="Arial" w:cs="Arial" w:eastAsia="Arial" w:hAnsi="Arial"/>
          <w:color w:val="444455"/>
          <w:sz w:val="22"/>
          <w:szCs w:val="22"/>
        </w:rPr>
        <w:t xml:space="preserve">The Chef is not a feature. He is a permanent personality layer inside every tab. His role changes by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TAB 1 — SCAN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3 recipes using the scanned product + cultural context + ingredient plain-language definitions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TAB 2 — PRODUCE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3 recipes matched to current ripeness stage — transforms based on where the produce actually 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TAB 3 — MEAT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3 recipes with safety temperatures embedded in every step — freshness-appropriate preparation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TAB 4 — CARE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Becomes The Formulator — 3 natural DIY alternatives or verified clean product swaps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TAB 5 — GRID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Activates at OFF GRID sources — guides what to ask for, seasonal availability, sourcing tips</w:t>
            </w:r>
          </w:p>
        </w:tc>
      </w:tr>
    </w:tbl>
    <w:p>
      <w:pPr>
        <w:pBdr>
          <w:left w:val="thick" w:color="00875A" w:sz="8"/>
        </w:pBdr>
        <w:shd w:fill="F0FFF8" w:val="clear"/>
        <w:spacing w:after="140" w:before="140"/>
        <w:ind w:left="360"/>
      </w:pPr>
      <w:r>
        <w:rPr>
          <w:rFonts w:ascii="Arial" w:cs="Arial" w:eastAsia="Arial" w:hAnsi="Arial"/>
          <w:b/>
          <w:bCs/>
          <w:i/>
          <w:iCs/>
          <w:color w:val="00875A"/>
          <w:sz w:val="22"/>
          <w:szCs w:val="22"/>
        </w:rPr>
        <w:t xml:space="preserve">🔒 "The Chef is not a personality. The Chef is a mirror. He reflects your food culture back to you — and translates every other culture through it."</w:t>
      </w:r>
    </w:p>
    <w:p>
      <w:pPr>
        <w:pBdr>
          <w:left w:val="thick" w:color="00875A" w:sz="8"/>
        </w:pBdr>
        <w:shd w:fill="F0FFF8" w:val="clear"/>
        <w:spacing w:after="140" w:before="140"/>
        <w:ind w:left="360"/>
      </w:pPr>
      <w:r>
        <w:rPr>
          <w:rFonts w:ascii="Arial" w:cs="Arial" w:eastAsia="Arial" w:hAnsi="Arial"/>
          <w:b/>
          <w:bCs/>
          <w:i/>
          <w:iCs/>
          <w:color w:val="00875A"/>
          <w:sz w:val="22"/>
          <w:szCs w:val="22"/>
        </w:rPr>
        <w:t xml:space="preserve">🔒 "Food is the universal language. The Chef is the interpreter."</w:t>
      </w:r>
    </w:p>
    <w:p>
      <w:pPr>
        <w:pBdr>
          <w:bottom w:val="single" w:color="DDDDDD" w:sz="4"/>
        </w:pBdr>
        <w:spacing w:after="200" w:before="200"/>
      </w:pPr>
      <w:r>
        <w:t xml:space="preserve"/>
      </w:r>
    </w:p>
    <w:p>
      <w:r>
        <w:br w:type="page"/>
      </w:r>
    </w:p>
    <w:p>
      <w:pPr>
        <w:pStyle w:val="Heading1"/>
        <w:spacing w:after="120" w:before="400"/>
      </w:pPr>
      <w:r>
        <w:rPr>
          <w:rFonts w:ascii="Arial" w:cs="Arial" w:eastAsia="Arial" w:hAnsi="Arial"/>
          <w:b/>
          <w:bCs/>
          <w:color w:val="0A0A0F"/>
          <w:sz w:val="32"/>
          <w:szCs w:val="32"/>
        </w:rPr>
        <w:t xml:space="preserve">XIV. TECH STACK &amp; BUILD STATUS — V7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React Native + Expo — cross-platform iOS and Android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Testing Device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Samsung Z Fold 5 (Android)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Production Builds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EAS Build — Android APK — free tier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AI Engine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Claude API — claude-sonnet-4-20250514 — all scanning tabs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Vision Engine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Claude Vision API — Tabs 2 (Produce), 3 (Meat), 4 (Personal Care)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Barcode Engine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expo-camera CameraView — Tab 1 SCAN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expo-location — GPS for Tab 5 GRID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Maps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Google Maps Places API — Tab 5 GRID + Tab 1 Retail Loop — KEY OBTAINED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Food 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Open Food Facts, USDA FoodData Central, OpenFDA Food Recalls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Beauty 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Open Beauty Facts, OpenFDA Cosmetics Adverse Events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Pet 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Open Pet Food Facts, OpenFDA Animal &amp; Veterinary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Chemical 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PubChem NIH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Supabase — scan history (pending)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Hardware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2024 M3 MacBook Pro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GitHub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github.com/AA2LABS/aa2-scan</w:t>
            </w:r>
          </w:p>
        </w:tc>
      </w:tr>
    </w:tbl>
    <w:p>
      <w:pPr>
        <w:pStyle w:val="Heading2"/>
        <w:spacing w:after="80" w:before="240"/>
      </w:pPr>
      <w:r>
        <w:rPr>
          <w:rFonts w:ascii="Arial" w:cs="Arial" w:eastAsia="Arial" w:hAnsi="Arial"/>
          <w:b/>
          <w:bCs/>
          <w:color w:val="1A5276"/>
          <w:sz w:val="26"/>
          <w:szCs w:val="26"/>
        </w:rPr>
        <w:t xml:space="preserve">Environment Variables —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EXPO_PUBLIC_ANTHROPIC_API_KEY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 Active — Claude AI engine — all tabs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EXPO_PUBLIC_USDA_API_KEY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 Active — USDA FoodData Central — Tab 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EXPO_PUBLIC_GOOGLE_MAPS_API_KEY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 Key obtained March 9, 2026 — add to .env before next build</w:t>
            </w:r>
          </w:p>
        </w:tc>
      </w:tr>
    </w:tbl>
    <w:p>
      <w:pPr>
        <w:pStyle w:val="Heading2"/>
        <w:spacing w:after="80" w:before="240"/>
      </w:pPr>
      <w:r>
        <w:rPr>
          <w:rFonts w:ascii="Arial" w:cs="Arial" w:eastAsia="Arial" w:hAnsi="Arial"/>
          <w:b/>
          <w:bCs/>
          <w:color w:val="1A5276"/>
          <w:sz w:val="26"/>
          <w:szCs w:val="26"/>
        </w:rPr>
        <w:t xml:space="preserve">Build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March 9,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Spoke 1 SCAN — operational — EAS Build — APK on Z Fold 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March 9,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The Chef — integrated into Tab 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March 9,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Chef background market image — integrated (chef-bg.png)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March 9,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Produce Vision Scanner — file built, awaiting EAS queue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March 9,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Meat Vision Scanner + CO₂/MAP Detection — file built, awaiting queue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March 9,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Five-tab _layout.tsx — built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March 9,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Google Maps API key — obtained, not yet in .env</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March 9,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Canon v7 — sealed, all doctrine from this session locked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PENDING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Personal Care Scanner complete file (personal-care-scan.tsx)</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PENDING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ON GRID / OFF GRID Map Tab (grid-map.tsx)</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PENDING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Full five-tab rebuild — after Google Maps key added to .env</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PENDING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Spoke 2 — Onboarding conversation</w:t>
            </w:r>
          </w:p>
        </w:tc>
      </w:tr>
    </w:tbl>
    <w:p>
      <w:pPr>
        <w:pBdr>
          <w:bottom w:val="single" w:color="DDDDDD" w:sz="4"/>
        </w:pBdr>
        <w:spacing w:after="200" w:before="200"/>
      </w:pPr>
      <w:r>
        <w:t xml:space="preserve"/>
      </w:r>
    </w:p>
    <w:p>
      <w:pPr>
        <w:pStyle w:val="Heading1"/>
        <w:spacing w:after="120" w:before="400"/>
      </w:pPr>
      <w:r>
        <w:rPr>
          <w:rFonts w:ascii="Arial" w:cs="Arial" w:eastAsia="Arial" w:hAnsi="Arial"/>
          <w:b/>
          <w:bCs/>
          <w:color w:val="0A0A0F"/>
          <w:sz w:val="32"/>
          <w:szCs w:val="32"/>
        </w:rPr>
        <w:t xml:space="preserve">XV. PENDING ACTIONS — IN ORDER</w:t>
      </w:r>
    </w:p>
    <w:p>
      <w:pPr>
        <w:pStyle w:val="ListParagraph"/>
        <w:numPr>
          <w:ilvl w:val="0"/>
          <w:numId w:val="2"/>
        </w:numPr>
        <w:spacing w:after="40" w:before="40"/>
      </w:pPr>
      <w:r>
        <w:rPr>
          <w:rFonts w:ascii="Arial" w:cs="Arial" w:eastAsia="Arial" w:hAnsi="Arial"/>
          <w:color w:val="444455"/>
          <w:sz w:val="22"/>
          <w:szCs w:val="22"/>
        </w:rPr>
        <w:t xml:space="preserve">IMMEDIATE: Enable Places API + Maps SDK for Android + Geolocation API in Google Cloud Console</w:t>
      </w:r>
    </w:p>
    <w:p>
      <w:pPr>
        <w:pStyle w:val="ListParagraph"/>
        <w:numPr>
          <w:ilvl w:val="0"/>
          <w:numId w:val="2"/>
        </w:numPr>
        <w:spacing w:after="40" w:before="40"/>
      </w:pPr>
      <w:r>
        <w:rPr>
          <w:rFonts w:ascii="Arial" w:cs="Arial" w:eastAsia="Arial" w:hAnsi="Arial"/>
          <w:color w:val="444455"/>
          <w:sz w:val="22"/>
          <w:szCs w:val="22"/>
        </w:rPr>
        <w:t xml:space="preserve">IMMEDIATE: Add Google Maps API key to .env — EXPO_PUBLIC_GOOGLE_MAPS_API_KEY=your_key</w:t>
      </w:r>
    </w:p>
    <w:p>
      <w:pPr>
        <w:pStyle w:val="ListParagraph"/>
        <w:numPr>
          <w:ilvl w:val="0"/>
          <w:numId w:val="2"/>
        </w:numPr>
        <w:spacing w:after="40" w:before="40"/>
      </w:pPr>
      <w:r>
        <w:rPr>
          <w:rFonts w:ascii="Arial" w:cs="Arial" w:eastAsia="Arial" w:hAnsi="Arial"/>
          <w:color w:val="444455"/>
          <w:sz w:val="22"/>
          <w:szCs w:val="22"/>
        </w:rPr>
        <w:t xml:space="preserve">THEN: Complete five-tab rebuild — personal-care-scan.tsx + grid-map.tsx + full rebuild push</w:t>
      </w:r>
    </w:p>
    <w:p>
      <w:pPr>
        <w:pStyle w:val="ListParagraph"/>
        <w:numPr>
          <w:ilvl w:val="0"/>
          <w:numId w:val="2"/>
        </w:numPr>
        <w:spacing w:after="40" w:before="40"/>
      </w:pPr>
      <w:r>
        <w:rPr>
          <w:rFonts w:ascii="Arial" w:cs="Arial" w:eastAsia="Arial" w:hAnsi="Arial"/>
          <w:color w:val="444455"/>
          <w:sz w:val="22"/>
          <w:szCs w:val="22"/>
        </w:rPr>
        <w:t xml:space="preserve">Transfer Onboarding Map fields to Onboarding build conversation</w:t>
      </w:r>
    </w:p>
    <w:p>
      <w:pPr>
        <w:pStyle w:val="ListParagraph"/>
        <w:numPr>
          <w:ilvl w:val="0"/>
          <w:numId w:val="2"/>
        </w:numPr>
        <w:spacing w:after="40" w:before="40"/>
      </w:pPr>
      <w:r>
        <w:rPr>
          <w:rFonts w:ascii="Arial" w:cs="Arial" w:eastAsia="Arial" w:hAnsi="Arial"/>
          <w:color w:val="444455"/>
          <w:sz w:val="22"/>
          <w:szCs w:val="22"/>
        </w:rPr>
        <w:t xml:space="preserve">File provisional patent — patents.uspto.gov — $320 micro entity — use Canon v7</w:t>
      </w:r>
    </w:p>
    <w:p>
      <w:pPr>
        <w:pStyle w:val="ListParagraph"/>
        <w:numPr>
          <w:ilvl w:val="0"/>
          <w:numId w:val="2"/>
        </w:numPr>
        <w:spacing w:after="40" w:before="40"/>
      </w:pPr>
      <w:r>
        <w:rPr>
          <w:rFonts w:ascii="Arial" w:cs="Arial" w:eastAsia="Arial" w:hAnsi="Arial"/>
          <w:color w:val="444455"/>
          <w:sz w:val="22"/>
          <w:szCs w:val="22"/>
        </w:rPr>
        <w:t xml:space="preserve">Contact ARIFA — mdelbusto@arifa.com</w:t>
      </w:r>
    </w:p>
    <w:p>
      <w:pPr>
        <w:pStyle w:val="ListParagraph"/>
        <w:numPr>
          <w:ilvl w:val="0"/>
          <w:numId w:val="2"/>
        </w:numPr>
        <w:spacing w:after="40" w:before="40"/>
      </w:pPr>
      <w:r>
        <w:rPr>
          <w:rFonts w:ascii="Arial" w:cs="Arial" w:eastAsia="Arial" w:hAnsi="Arial"/>
          <w:color w:val="444455"/>
          <w:sz w:val="22"/>
          <w:szCs w:val="22"/>
        </w:rPr>
        <w:t xml:space="preserve">Apply for Muse SDK commercial license — SDKpartners@choosemuse.com</w:t>
      </w:r>
    </w:p>
    <w:p>
      <w:pPr>
        <w:pStyle w:val="ListParagraph"/>
        <w:numPr>
          <w:ilvl w:val="0"/>
          <w:numId w:val="2"/>
        </w:numPr>
        <w:spacing w:after="40" w:before="40"/>
      </w:pPr>
      <w:r>
        <w:rPr>
          <w:rFonts w:ascii="Arial" w:cs="Arial" w:eastAsia="Arial" w:hAnsi="Arial"/>
          <w:color w:val="444455"/>
          <w:sz w:val="22"/>
          <w:szCs w:val="22"/>
        </w:rPr>
        <w:t xml:space="preserve">Wire Supabase for scan history across all 5 tabs</w:t>
      </w:r>
    </w:p>
    <w:p>
      <w:pPr>
        <w:pStyle w:val="ListParagraph"/>
        <w:numPr>
          <w:ilvl w:val="0"/>
          <w:numId w:val="2"/>
        </w:numPr>
        <w:spacing w:after="40" w:before="40"/>
      </w:pPr>
      <w:r>
        <w:rPr>
          <w:rFonts w:ascii="Arial" w:cs="Arial" w:eastAsia="Arial" w:hAnsi="Arial"/>
          <w:color w:val="444455"/>
          <w:sz w:val="22"/>
          <w:szCs w:val="22"/>
        </w:rPr>
        <w:t xml:space="preserve">Build Spoke 2 — Onboarding</w:t>
      </w:r>
    </w:p>
    <w:p>
      <w:pPr>
        <w:pStyle w:val="ListParagraph"/>
        <w:numPr>
          <w:ilvl w:val="0"/>
          <w:numId w:val="2"/>
        </w:numPr>
        <w:spacing w:after="40" w:before="40"/>
      </w:pPr>
      <w:r>
        <w:rPr>
          <w:rFonts w:ascii="Arial" w:cs="Arial" w:eastAsia="Arial" w:hAnsi="Arial"/>
          <w:color w:val="444455"/>
          <w:sz w:val="22"/>
          <w:szCs w:val="22"/>
        </w:rPr>
        <w:t xml:space="preserve">Add K9/canine toxicology layer to Tab 1 SCAN and Tab 5 GRID</w:t>
      </w:r>
    </w:p>
    <w:p>
      <w:pPr>
        <w:pStyle w:val="ListParagraph"/>
        <w:numPr>
          <w:ilvl w:val="0"/>
          <w:numId w:val="2"/>
        </w:numPr>
        <w:spacing w:after="40" w:before="40"/>
      </w:pPr>
      <w:r>
        <w:rPr>
          <w:rFonts w:ascii="Arial" w:cs="Arial" w:eastAsia="Arial" w:hAnsi="Arial"/>
          <w:color w:val="444455"/>
          <w:sz w:val="22"/>
          <w:szCs w:val="22"/>
        </w:rPr>
        <w:t xml:space="preserve">Upload remaining 36 chapters / 100,000 words of AA2 documentation</w:t>
      </w:r>
    </w:p>
    <w:p>
      <w:pPr>
        <w:pBdr>
          <w:bottom w:val="single" w:color="DDDDDD" w:sz="4"/>
        </w:pBdr>
        <w:spacing w:after="200" w:before="200"/>
      </w:pPr>
      <w:r>
        <w:t xml:space="preserve"/>
      </w:r>
    </w:p>
    <w:p>
      <w:r>
        <w:br w:type="page"/>
      </w:r>
    </w:p>
    <w:p>
      <w:pPr>
        <w:pStyle w:val="Heading1"/>
        <w:spacing w:after="120" w:before="400"/>
      </w:pPr>
      <w:r>
        <w:rPr>
          <w:rFonts w:ascii="Arial" w:cs="Arial" w:eastAsia="Arial" w:hAnsi="Arial"/>
          <w:b/>
          <w:bCs/>
          <w:color w:val="0A0A0F"/>
          <w:sz w:val="32"/>
          <w:szCs w:val="32"/>
        </w:rPr>
        <w:t xml:space="preserve">XVI. NINE ONBOARDING STORIES — LOCKED SERIES</w:t>
      </w:r>
    </w:p>
    <w:p>
      <w:pPr>
        <w:spacing w:after="60" w:before="60"/>
      </w:pPr>
      <w:r>
        <w:rPr>
          <w:rFonts w:ascii="Arial" w:cs="Arial" w:eastAsia="Arial" w:hAnsi="Arial"/>
          <w:color w:val="444455"/>
          <w:sz w:val="22"/>
          <w:szCs w:val="22"/>
        </w:rPr>
        <w:t xml:space="preserve">Each story teaches the system without explaining the system.</w:t>
      </w:r>
    </w:p>
    <w:p>
      <w:pPr>
        <w:spacing w:after="60" w:before="180"/>
      </w:pPr>
      <w:r>
        <w:rPr>
          <w:rFonts w:ascii="Arial" w:cs="Arial" w:eastAsia="Arial" w:hAnsi="Arial"/>
          <w:b/>
          <w:bCs/>
          <w:color w:val="00875A"/>
          <w:sz w:val="22"/>
          <w:szCs w:val="22"/>
        </w:rPr>
        <w:t xml:space="preserve">Story 1 — The Grocery Aisle (Parents)</w:t>
      </w:r>
    </w:p>
    <w:p>
      <w:pPr>
        <w:spacing w:after="60" w:before="60"/>
      </w:pPr>
      <w:r>
        <w:rPr>
          <w:rFonts w:ascii="Arial" w:cs="Arial" w:eastAsia="Arial" w:hAnsi="Arial"/>
          <w:color w:val="444455"/>
          <w:sz w:val="22"/>
          <w:szCs w:val="22"/>
        </w:rPr>
        <w:t xml:space="preserve">A parent scans cereal. Nothing alarming on the label. AA2 quietly says: This conflicts with your child's sleep recovery trend. Parent switches brands. No drama. No lecture. Just prevention.</w:t>
      </w:r>
    </w:p>
    <w:p>
      <w:pPr>
        <w:spacing w:after="120" w:before="60"/>
      </w:pPr>
      <w:r>
        <w:rPr>
          <w:rFonts w:ascii="Arial" w:cs="Arial" w:eastAsia="Arial" w:hAnsi="Arial"/>
          <w:b/>
          <w:bCs/>
          <w:i/>
          <w:iCs/>
          <w:color w:val="00875A"/>
          <w:sz w:val="22"/>
          <w:szCs w:val="22"/>
        </w:rPr>
        <w:t xml:space="preserve">Lesson: Chemicals affect behavior before symptoms.</w:t>
      </w:r>
    </w:p>
    <w:p>
      <w:pPr>
        <w:spacing w:after="60" w:before="180"/>
      </w:pPr>
      <w:r>
        <w:rPr>
          <w:rFonts w:ascii="Arial" w:cs="Arial" w:eastAsia="Arial" w:hAnsi="Arial"/>
          <w:b/>
          <w:bCs/>
          <w:color w:val="00875A"/>
          <w:sz w:val="22"/>
          <w:szCs w:val="22"/>
        </w:rPr>
        <w:t xml:space="preserve">Story 2 — The School Lunch (Children)</w:t>
      </w:r>
    </w:p>
    <w:p>
      <w:pPr>
        <w:spacing w:after="60" w:before="60"/>
      </w:pPr>
      <w:r>
        <w:rPr>
          <w:rFonts w:ascii="Arial" w:cs="Arial" w:eastAsia="Arial" w:hAnsi="Arial"/>
          <w:color w:val="444455"/>
          <w:sz w:val="22"/>
          <w:szCs w:val="22"/>
        </w:rPr>
        <w:t xml:space="preserve">A child scans food at school. The scanner translates ingredients into simple language. The child learns words, meaning, and self-awareness. They choose differently — by themselves.</w:t>
      </w:r>
    </w:p>
    <w:p>
      <w:pPr>
        <w:spacing w:after="120" w:before="60"/>
      </w:pPr>
      <w:r>
        <w:rPr>
          <w:rFonts w:ascii="Arial" w:cs="Arial" w:eastAsia="Arial" w:hAnsi="Arial"/>
          <w:b/>
          <w:bCs/>
          <w:i/>
          <w:iCs/>
          <w:color w:val="00875A"/>
          <w:sz w:val="22"/>
          <w:szCs w:val="22"/>
        </w:rPr>
        <w:t xml:space="preserve">Lesson: Agency beats restriction.</w:t>
      </w:r>
    </w:p>
    <w:p>
      <w:pPr>
        <w:spacing w:after="60" w:before="180"/>
      </w:pPr>
      <w:r>
        <w:rPr>
          <w:rFonts w:ascii="Arial" w:cs="Arial" w:eastAsia="Arial" w:hAnsi="Arial"/>
          <w:b/>
          <w:bCs/>
          <w:color w:val="00875A"/>
          <w:sz w:val="22"/>
          <w:szCs w:val="22"/>
        </w:rPr>
        <w:t xml:space="preserve">Story 3 — The Foreign Menu (Travel &amp; Language)</w:t>
      </w:r>
    </w:p>
    <w:p>
      <w:pPr>
        <w:spacing w:after="60" w:before="60"/>
      </w:pPr>
      <w:r>
        <w:rPr>
          <w:rFonts w:ascii="Arial" w:cs="Arial" w:eastAsia="Arial" w:hAnsi="Arial"/>
          <w:color w:val="444455"/>
          <w:sz w:val="22"/>
          <w:szCs w:val="22"/>
        </w:rPr>
        <w:t xml:space="preserve">A family abroad scans a menu. AA2 translates, explains preparation, and warns about regional substitutes. They eat confidently.</w:t>
      </w:r>
    </w:p>
    <w:p>
      <w:pPr>
        <w:spacing w:after="120" w:before="60"/>
      </w:pPr>
      <w:r>
        <w:rPr>
          <w:rFonts w:ascii="Arial" w:cs="Arial" w:eastAsia="Arial" w:hAnsi="Arial"/>
          <w:b/>
          <w:bCs/>
          <w:i/>
          <w:iCs/>
          <w:color w:val="00875A"/>
          <w:sz w:val="22"/>
          <w:szCs w:val="22"/>
        </w:rPr>
        <w:t xml:space="preserve">Lesson: Cultural curiosity without risk.</w:t>
      </w:r>
    </w:p>
    <w:p>
      <w:pPr>
        <w:spacing w:after="60" w:before="180"/>
      </w:pPr>
      <w:r>
        <w:rPr>
          <w:rFonts w:ascii="Arial" w:cs="Arial" w:eastAsia="Arial" w:hAnsi="Arial"/>
          <w:b/>
          <w:bCs/>
          <w:color w:val="00875A"/>
          <w:sz w:val="22"/>
          <w:szCs w:val="22"/>
        </w:rPr>
        <w:t xml:space="preserve">Story 4 — The Uber Ride (Young Adult Safety)</w:t>
      </w:r>
    </w:p>
    <w:p>
      <w:pPr>
        <w:spacing w:after="60" w:before="60"/>
      </w:pPr>
      <w:r>
        <w:rPr>
          <w:rFonts w:ascii="Arial" w:cs="Arial" w:eastAsia="Arial" w:hAnsi="Arial"/>
          <w:color w:val="444455"/>
          <w:sz w:val="22"/>
          <w:szCs w:val="22"/>
        </w:rPr>
        <w:t xml:space="preserve">Heart rate rises unexpectedly. AA2 notes chemical, stress, and environment overlap. Subtle alert: Environment inconsistent with baseline. Awareness increases. Nothing escalates.</w:t>
      </w:r>
    </w:p>
    <w:p>
      <w:pPr>
        <w:spacing w:after="120" w:before="60"/>
      </w:pPr>
      <w:r>
        <w:rPr>
          <w:rFonts w:ascii="Arial" w:cs="Arial" w:eastAsia="Arial" w:hAnsi="Arial"/>
          <w:b/>
          <w:bCs/>
          <w:i/>
          <w:iCs/>
          <w:color w:val="00875A"/>
          <w:sz w:val="22"/>
          <w:szCs w:val="22"/>
        </w:rPr>
        <w:t xml:space="preserve">Lesson: Safety begins before danger.</w:t>
      </w:r>
    </w:p>
    <w:p>
      <w:pPr>
        <w:spacing w:after="60" w:before="180"/>
      </w:pPr>
      <w:r>
        <w:rPr>
          <w:rFonts w:ascii="Arial" w:cs="Arial" w:eastAsia="Arial" w:hAnsi="Arial"/>
          <w:b/>
          <w:bCs/>
          <w:color w:val="00875A"/>
          <w:sz w:val="22"/>
          <w:szCs w:val="22"/>
        </w:rPr>
        <w:t xml:space="preserve">Story 5 — The First Date Drink (Trust &amp; Exposure)</w:t>
      </w:r>
    </w:p>
    <w:p>
      <w:pPr>
        <w:spacing w:after="60" w:before="60"/>
      </w:pPr>
      <w:r>
        <w:rPr>
          <w:rFonts w:ascii="Arial" w:cs="Arial" w:eastAsia="Arial" w:hAnsi="Arial"/>
          <w:color w:val="444455"/>
          <w:sz w:val="22"/>
          <w:szCs w:val="22"/>
        </w:rPr>
        <w:t xml:space="preserve">A drink is scanned. AA2 recalls past reactions, delayed effects, and tolerance drift. User switches drinks. The night stays clear.</w:t>
      </w:r>
    </w:p>
    <w:p>
      <w:pPr>
        <w:spacing w:after="120" w:before="60"/>
      </w:pPr>
      <w:r>
        <w:rPr>
          <w:rFonts w:ascii="Arial" w:cs="Arial" w:eastAsia="Arial" w:hAnsi="Arial"/>
          <w:b/>
          <w:bCs/>
          <w:i/>
          <w:iCs/>
          <w:color w:val="00875A"/>
          <w:sz w:val="22"/>
          <w:szCs w:val="22"/>
        </w:rPr>
        <w:t xml:space="preserve">Lesson: Chemistry affects judgment.</w:t>
      </w:r>
    </w:p>
    <w:p>
      <w:pPr>
        <w:spacing w:after="60" w:before="180"/>
      </w:pPr>
      <w:r>
        <w:rPr>
          <w:rFonts w:ascii="Arial" w:cs="Arial" w:eastAsia="Arial" w:hAnsi="Arial"/>
          <w:b/>
          <w:bCs/>
          <w:color w:val="00875A"/>
          <w:sz w:val="22"/>
          <w:szCs w:val="22"/>
        </w:rPr>
        <w:t xml:space="preserve">Story 6 — The Dog That Would Not Eat (Pets)</w:t>
      </w:r>
    </w:p>
    <w:p>
      <w:pPr>
        <w:spacing w:after="60" w:before="60"/>
      </w:pPr>
      <w:r>
        <w:rPr>
          <w:rFonts w:ascii="Arial" w:cs="Arial" w:eastAsia="Arial" w:hAnsi="Arial"/>
          <w:color w:val="444455"/>
          <w:sz w:val="22"/>
          <w:szCs w:val="22"/>
        </w:rPr>
        <w:t xml:space="preserve">A dog refuses food. Scanner reveals recent formula change, chemical irritant, and stress overlap with handler. Food is changed. Behavior normalizes.</w:t>
      </w:r>
    </w:p>
    <w:p>
      <w:pPr>
        <w:spacing w:after="120" w:before="60"/>
      </w:pPr>
      <w:r>
        <w:rPr>
          <w:rFonts w:ascii="Arial" w:cs="Arial" w:eastAsia="Arial" w:hAnsi="Arial"/>
          <w:b/>
          <w:bCs/>
          <w:i/>
          <w:iCs/>
          <w:color w:val="00875A"/>
          <w:sz w:val="22"/>
          <w:szCs w:val="22"/>
        </w:rPr>
        <w:t xml:space="preserve">Lesson: Animals speak through biosignals.</w:t>
      </w:r>
    </w:p>
    <w:p>
      <w:pPr>
        <w:spacing w:after="60" w:before="180"/>
      </w:pPr>
      <w:r>
        <w:rPr>
          <w:rFonts w:ascii="Arial" w:cs="Arial" w:eastAsia="Arial" w:hAnsi="Arial"/>
          <w:b/>
          <w:bCs/>
          <w:color w:val="00875A"/>
          <w:sz w:val="22"/>
          <w:szCs w:val="22"/>
        </w:rPr>
        <w:t xml:space="preserve">Story 7 — The Working K9 (Tactical)</w:t>
      </w:r>
    </w:p>
    <w:p>
      <w:pPr>
        <w:spacing w:after="60" w:before="60"/>
      </w:pPr>
      <w:r>
        <w:rPr>
          <w:rFonts w:ascii="Arial" w:cs="Arial" w:eastAsia="Arial" w:hAnsi="Arial"/>
          <w:color w:val="444455"/>
          <w:sz w:val="22"/>
          <w:szCs w:val="22"/>
        </w:rPr>
        <w:t xml:space="preserve">Handler stress rises. Dog stress follows. Scanner flags supplement interaction, environment exposure, and hydration imbalance. Mission readiness preserved.</w:t>
      </w:r>
    </w:p>
    <w:p>
      <w:pPr>
        <w:spacing w:after="120" w:before="60"/>
      </w:pPr>
      <w:r>
        <w:rPr>
          <w:rFonts w:ascii="Arial" w:cs="Arial" w:eastAsia="Arial" w:hAnsi="Arial"/>
          <w:b/>
          <w:bCs/>
          <w:i/>
          <w:iCs/>
          <w:color w:val="00875A"/>
          <w:sz w:val="22"/>
          <w:szCs w:val="22"/>
        </w:rPr>
        <w:t xml:space="preserve">Lesson: Handler biology transfers.</w:t>
      </w:r>
    </w:p>
    <w:p>
      <w:pPr>
        <w:spacing w:after="60" w:before="180"/>
      </w:pPr>
      <w:r>
        <w:rPr>
          <w:rFonts w:ascii="Arial" w:cs="Arial" w:eastAsia="Arial" w:hAnsi="Arial"/>
          <w:b/>
          <w:bCs/>
          <w:color w:val="00875A"/>
          <w:sz w:val="22"/>
          <w:szCs w:val="22"/>
        </w:rPr>
        <w:t xml:space="preserve">Story 8 — The Doctor Visit (Medical Sharing)</w:t>
      </w:r>
    </w:p>
    <w:p>
      <w:pPr>
        <w:spacing w:after="60" w:before="60"/>
      </w:pPr>
      <w:r>
        <w:rPr>
          <w:rFonts w:ascii="Arial" w:cs="Arial" w:eastAsia="Arial" w:hAnsi="Arial"/>
          <w:color w:val="444455"/>
          <w:sz w:val="22"/>
          <w:szCs w:val="22"/>
        </w:rPr>
        <w:t xml:space="preserve">User opts to share AA2 data. Physician sees exposure timeline, reaction curves, and recovery patterns. Diagnosis accelerates.</w:t>
      </w:r>
    </w:p>
    <w:p>
      <w:pPr>
        <w:spacing w:after="120" w:before="60"/>
      </w:pPr>
      <w:r>
        <w:rPr>
          <w:rFonts w:ascii="Arial" w:cs="Arial" w:eastAsia="Arial" w:hAnsi="Arial"/>
          <w:b/>
          <w:bCs/>
          <w:i/>
          <w:iCs/>
          <w:color w:val="00875A"/>
          <w:sz w:val="22"/>
          <w:szCs w:val="22"/>
        </w:rPr>
        <w:t xml:space="preserve">Lesson: Data removes guesswork.</w:t>
      </w:r>
    </w:p>
    <w:p>
      <w:pPr>
        <w:spacing w:after="60" w:before="180"/>
      </w:pPr>
      <w:r>
        <w:rPr>
          <w:rFonts w:ascii="Arial" w:cs="Arial" w:eastAsia="Arial" w:hAnsi="Arial"/>
          <w:b/>
          <w:bCs/>
          <w:color w:val="00875A"/>
          <w:sz w:val="22"/>
          <w:szCs w:val="22"/>
        </w:rPr>
        <w:t xml:space="preserve">Story 9 — The Long View (Legacy)</w:t>
      </w:r>
    </w:p>
    <w:p>
      <w:pPr>
        <w:spacing w:after="60" w:before="60"/>
      </w:pPr>
      <w:r>
        <w:rPr>
          <w:rFonts w:ascii="Arial" w:cs="Arial" w:eastAsia="Arial" w:hAnsi="Arial"/>
          <w:color w:val="444455"/>
          <w:sz w:val="22"/>
          <w:szCs w:val="22"/>
        </w:rPr>
        <w:t xml:space="preserve">Years of scans show fewer inflammatory spikes, improved learning, calmer baseline, healthier animals, and aligned spending. AA2 says nothing. The results speak.</w:t>
      </w:r>
    </w:p>
    <w:p>
      <w:pPr>
        <w:spacing w:after="120" w:before="60"/>
      </w:pPr>
      <w:r>
        <w:rPr>
          <w:rFonts w:ascii="Arial" w:cs="Arial" w:eastAsia="Arial" w:hAnsi="Arial"/>
          <w:b/>
          <w:bCs/>
          <w:i/>
          <w:iCs/>
          <w:color w:val="00875A"/>
          <w:sz w:val="22"/>
          <w:szCs w:val="22"/>
        </w:rPr>
        <w:t xml:space="preserve">Lesson: Small decisions compound into legacy.</w:t>
      </w:r>
    </w:p>
    <w:p>
      <w:pPr>
        <w:pBdr>
          <w:bottom w:val="single" w:color="DDDDDD" w:sz="4"/>
        </w:pBdr>
        <w:spacing w:after="200" w:before="200"/>
      </w:pPr>
      <w:r>
        <w:t xml:space="preserve"/>
      </w:r>
    </w:p>
    <w:p>
      <w:pPr>
        <w:pStyle w:val="Heading1"/>
        <w:spacing w:after="120" w:before="400"/>
      </w:pPr>
      <w:r>
        <w:rPr>
          <w:rFonts w:ascii="Arial" w:cs="Arial" w:eastAsia="Arial" w:hAnsi="Arial"/>
          <w:b/>
          <w:bCs/>
          <w:color w:val="0A0A0F"/>
          <w:sz w:val="32"/>
          <w:szCs w:val="32"/>
        </w:rPr>
        <w:t xml:space="preserve">XVII. ALL CANON LOCKED STATEMENTS — V7</w:t>
      </w:r>
    </w:p>
    <w:p>
      <w:pPr>
        <w:pBdr>
          <w:left w:val="thick" w:color="00875A" w:sz="8"/>
        </w:pBdr>
        <w:shd w:fill="F0FFF8" w:val="clear"/>
        <w:spacing w:after="140" w:before="140"/>
        <w:ind w:left="360"/>
      </w:pPr>
      <w:r>
        <w:rPr>
          <w:rFonts w:ascii="Arial" w:cs="Arial" w:eastAsia="Arial" w:hAnsi="Arial"/>
          <w:b/>
          <w:bCs/>
          <w:i/>
          <w:iCs/>
          <w:color w:val="00875A"/>
          <w:sz w:val="22"/>
          <w:szCs w:val="22"/>
        </w:rPr>
        <w:t xml:space="preserve">🔒 "The membrane doesn't advance until it's whole."</w:t>
      </w:r>
    </w:p>
    <w:p>
      <w:pPr>
        <w:pBdr>
          <w:left w:val="thick" w:color="00875A" w:sz="8"/>
        </w:pBdr>
        <w:shd w:fill="F0FFF8" w:val="clear"/>
        <w:spacing w:after="140" w:before="140"/>
        <w:ind w:left="360"/>
      </w:pPr>
      <w:r>
        <w:rPr>
          <w:rFonts w:ascii="Arial" w:cs="Arial" w:eastAsia="Arial" w:hAnsi="Arial"/>
          <w:b/>
          <w:bCs/>
          <w:i/>
          <w:iCs/>
          <w:color w:val="00875A"/>
          <w:sz w:val="22"/>
          <w:szCs w:val="22"/>
        </w:rPr>
        <w:t xml:space="preserve">🔒 "Health tracking starts at Spoke 1. The scanner IS the health tracker. Every scan is a health data point from day one."</w:t>
      </w:r>
    </w:p>
    <w:p>
      <w:pPr>
        <w:pBdr>
          <w:left w:val="thick" w:color="00875A" w:sz="8"/>
        </w:pBdr>
        <w:shd w:fill="F0FFF8" w:val="clear"/>
        <w:spacing w:after="140" w:before="140"/>
        <w:ind w:left="360"/>
      </w:pPr>
      <w:r>
        <w:rPr>
          <w:rFonts w:ascii="Arial" w:cs="Arial" w:eastAsia="Arial" w:hAnsi="Arial"/>
          <w:b/>
          <w:bCs/>
          <w:i/>
          <w:iCs/>
          <w:color w:val="00875A"/>
          <w:sz w:val="22"/>
          <w:szCs w:val="22"/>
        </w:rPr>
        <w:t xml:space="preserve">🔒 "The spokes don't connect to each other. They connect to you. But under tension — the whole wheel becomes one."</w:t>
      </w:r>
    </w:p>
    <w:p>
      <w:pPr>
        <w:pBdr>
          <w:left w:val="thick" w:color="00875A" w:sz="8"/>
        </w:pBdr>
        <w:shd w:fill="F0FFF8" w:val="clear"/>
        <w:spacing w:after="140" w:before="140"/>
        <w:ind w:left="360"/>
      </w:pPr>
      <w:r>
        <w:rPr>
          <w:rFonts w:ascii="Arial" w:cs="Arial" w:eastAsia="Arial" w:hAnsi="Arial"/>
          <w:b/>
          <w:bCs/>
          <w:i/>
          <w:iCs/>
          <w:color w:val="00875A"/>
          <w:sz w:val="22"/>
          <w:szCs w:val="22"/>
        </w:rPr>
        <w:t xml:space="preserve">🔒 "Drift is inevitable. Truing is the practice. AA2 is the mechanic."</w:t>
      </w:r>
    </w:p>
    <w:p>
      <w:pPr>
        <w:pBdr>
          <w:left w:val="thick" w:color="00875A" w:sz="8"/>
        </w:pBdr>
        <w:shd w:fill="F0FFF8" w:val="clear"/>
        <w:spacing w:after="140" w:before="140"/>
        <w:ind w:left="360"/>
      </w:pPr>
      <w:r>
        <w:rPr>
          <w:rFonts w:ascii="Arial" w:cs="Arial" w:eastAsia="Arial" w:hAnsi="Arial"/>
          <w:b/>
          <w:bCs/>
          <w:i/>
          <w:iCs/>
          <w:color w:val="00875A"/>
          <w:sz w:val="22"/>
          <w:szCs w:val="22"/>
        </w:rPr>
        <w:t xml:space="preserve">🔒 "Disruption is inevitable. Drift is optional."</w:t>
      </w:r>
    </w:p>
    <w:p>
      <w:pPr>
        <w:pBdr>
          <w:left w:val="thick" w:color="00875A" w:sz="8"/>
        </w:pBdr>
        <w:shd w:fill="F0FFF8" w:val="clear"/>
        <w:spacing w:after="140" w:before="140"/>
        <w:ind w:left="360"/>
      </w:pPr>
      <w:r>
        <w:rPr>
          <w:rFonts w:ascii="Arial" w:cs="Arial" w:eastAsia="Arial" w:hAnsi="Arial"/>
          <w:b/>
          <w:bCs/>
          <w:i/>
          <w:iCs/>
          <w:color w:val="00875A"/>
          <w:sz w:val="22"/>
          <w:szCs w:val="22"/>
        </w:rPr>
        <w:t xml:space="preserve">🔒 "The Chef is not a personality. The Chef is a mirror. He reflects your food culture back to you — and translates every other culture through it."</w:t>
      </w:r>
    </w:p>
    <w:p>
      <w:pPr>
        <w:pBdr>
          <w:left w:val="thick" w:color="00875A" w:sz="8"/>
        </w:pBdr>
        <w:shd w:fill="F0FFF8" w:val="clear"/>
        <w:spacing w:after="140" w:before="140"/>
        <w:ind w:left="360"/>
      </w:pPr>
      <w:r>
        <w:rPr>
          <w:rFonts w:ascii="Arial" w:cs="Arial" w:eastAsia="Arial" w:hAnsi="Arial"/>
          <w:b/>
          <w:bCs/>
          <w:i/>
          <w:iCs/>
          <w:color w:val="00875A"/>
          <w:sz w:val="22"/>
          <w:szCs w:val="22"/>
        </w:rPr>
        <w:t xml:space="preserve">🔒 "Food is the universal language. The Chef is the interpreter."</w:t>
      </w:r>
    </w:p>
    <w:p>
      <w:pPr>
        <w:pBdr>
          <w:left w:val="thick" w:color="00875A" w:sz="8"/>
        </w:pBdr>
        <w:shd w:fill="F0FFF8" w:val="clear"/>
        <w:spacing w:after="140" w:before="140"/>
        <w:ind w:left="360"/>
      </w:pPr>
      <w:r>
        <w:rPr>
          <w:rFonts w:ascii="Arial" w:cs="Arial" w:eastAsia="Arial" w:hAnsi="Arial"/>
          <w:b/>
          <w:bCs/>
          <w:i/>
          <w:iCs/>
          <w:color w:val="00875A"/>
          <w:sz w:val="22"/>
          <w:szCs w:val="22"/>
        </w:rPr>
        <w:t xml:space="preserve">🔒 "Everyone else tracks after damage. AA2 filters before contact."</w:t>
      </w:r>
    </w:p>
    <w:p>
      <w:pPr>
        <w:pBdr>
          <w:left w:val="thick" w:color="00875A" w:sz="8"/>
        </w:pBdr>
        <w:shd w:fill="F0FFF8" w:val="clear"/>
        <w:spacing w:after="140" w:before="140"/>
        <w:ind w:left="360"/>
      </w:pPr>
      <w:r>
        <w:rPr>
          <w:rFonts w:ascii="Arial" w:cs="Arial" w:eastAsia="Arial" w:hAnsi="Arial"/>
          <w:b/>
          <w:bCs/>
          <w:i/>
          <w:iCs/>
          <w:color w:val="00875A"/>
          <w:sz w:val="22"/>
          <w:szCs w:val="22"/>
        </w:rPr>
        <w:t xml:space="preserve">🔒 "AA2 Chemical Doctrine ensures that nothing enters your body, your child's body, or your animal's body without context, memory, and alignment. That is not wellness. That is life integrity."</w:t>
      </w:r>
    </w:p>
    <w:p>
      <w:pPr>
        <w:pBdr>
          <w:left w:val="thick" w:color="00875A" w:sz="8"/>
        </w:pBdr>
        <w:shd w:fill="F0FFF8" w:val="clear"/>
        <w:spacing w:after="140" w:before="140"/>
        <w:ind w:left="360"/>
      </w:pPr>
      <w:r>
        <w:rPr>
          <w:rFonts w:ascii="Arial" w:cs="Arial" w:eastAsia="Arial" w:hAnsi="Arial"/>
          <w:b/>
          <w:bCs/>
          <w:i/>
          <w:iCs/>
          <w:color w:val="00875A"/>
          <w:sz w:val="22"/>
          <w:szCs w:val="22"/>
        </w:rPr>
        <w:t xml:space="preserve">🔒 "If you would not eat it, do not wear it. The skin is not a barrier — it is a door. AA2 guards both."</w:t>
      </w:r>
    </w:p>
    <w:p>
      <w:pPr>
        <w:pBdr>
          <w:left w:val="thick" w:color="00875A" w:sz="8"/>
        </w:pBdr>
        <w:shd w:fill="F0FFF8" w:val="clear"/>
        <w:spacing w:after="140" w:before="140"/>
        <w:ind w:left="360"/>
      </w:pPr>
      <w:r>
        <w:rPr>
          <w:rFonts w:ascii="Arial" w:cs="Arial" w:eastAsia="Arial" w:hAnsi="Arial"/>
          <w:b/>
          <w:bCs/>
          <w:i/>
          <w:iCs/>
          <w:color w:val="00875A"/>
          <w:sz w:val="22"/>
          <w:szCs w:val="22"/>
        </w:rPr>
        <w:t xml:space="preserve">🔒 "Every better decision is a deposit."</w:t>
      </w:r>
    </w:p>
    <w:p>
      <w:pPr>
        <w:pBdr>
          <w:left w:val="thick" w:color="00875A" w:sz="8"/>
        </w:pBdr>
        <w:shd w:fill="F0FFF8" w:val="clear"/>
        <w:spacing w:after="140" w:before="140"/>
        <w:ind w:left="360"/>
      </w:pPr>
      <w:r>
        <w:rPr>
          <w:rFonts w:ascii="Arial" w:cs="Arial" w:eastAsia="Arial" w:hAnsi="Arial"/>
          <w:b/>
          <w:bCs/>
          <w:i/>
          <w:iCs/>
          <w:color w:val="00875A"/>
          <w:sz w:val="22"/>
          <w:szCs w:val="22"/>
        </w:rPr>
        <w:t xml:space="preserve">🔒 "AA2 doesn't tell you to live better. It makes living better the path of least resistance."</w:t>
      </w:r>
    </w:p>
    <w:p>
      <w:pPr>
        <w:pBdr>
          <w:left w:val="thick" w:color="00875A" w:sz="8"/>
        </w:pBdr>
        <w:shd w:fill="F0FFF8" w:val="clear"/>
        <w:spacing w:after="140" w:before="140"/>
        <w:ind w:left="360"/>
      </w:pPr>
      <w:r>
        <w:rPr>
          <w:rFonts w:ascii="Arial" w:cs="Arial" w:eastAsia="Arial" w:hAnsi="Arial"/>
          <w:b/>
          <w:bCs/>
          <w:i/>
          <w:iCs/>
          <w:color w:val="00875A"/>
          <w:sz w:val="22"/>
          <w:szCs w:val="22"/>
        </w:rPr>
        <w:t xml:space="preserve">🔒 "The color of your meat is not the truth. When CO₂ has been added, your eyes are being deceived. Trust your nose and the date — not what you see."</w:t>
      </w:r>
    </w:p>
    <w:p>
      <w:pPr>
        <w:pBdr>
          <w:left w:val="thick" w:color="00875A" w:sz="8"/>
        </w:pBdr>
        <w:shd w:fill="F0FFF8" w:val="clear"/>
        <w:spacing w:after="140" w:before="140"/>
        <w:ind w:left="360"/>
      </w:pPr>
      <w:r>
        <w:rPr>
          <w:rFonts w:ascii="Arial" w:cs="Arial" w:eastAsia="Arial" w:hAnsi="Arial"/>
          <w:b/>
          <w:bCs/>
          <w:i/>
          <w:iCs/>
          <w:color w:val="00875A"/>
          <w:sz w:val="22"/>
          <w:szCs w:val="22"/>
        </w:rPr>
        <w:t xml:space="preserve">🔒 "Each user is their own living laboratory — their own personal development science project."</w:t>
      </w:r>
    </w:p>
    <w:p>
      <w:pPr>
        <w:pBdr>
          <w:bottom w:val="single" w:color="DDDDDD" w:sz="4"/>
        </w:pBdr>
        <w:spacing w:after="200" w:before="200"/>
      </w:pPr>
      <w:r>
        <w:t xml:space="preserve"/>
      </w:r>
    </w:p>
    <w:p>
      <w:pPr>
        <w:spacing w:after="120" w:before="480"/>
        <w:jc w:val="center"/>
      </w:pPr>
      <w:r>
        <w:rPr>
          <w:rFonts w:ascii="Arial" w:cs="Arial" w:eastAsia="Arial" w:hAnsi="Arial"/>
          <w:b/>
          <w:bCs/>
          <w:color w:val="00875A"/>
          <w:sz w:val="28"/>
          <w:szCs w:val="28"/>
        </w:rPr>
        <w:t xml:space="preserve">AA2 MASTER CANON V7 — SEALED MARCH 9, 2026</w:t>
      </w:r>
    </w:p>
    <w:p>
      <w:pPr>
        <w:spacing w:after="120" w:before="0"/>
        <w:jc w:val="center"/>
      </w:pPr>
      <w:r>
        <w:rPr>
          <w:rFonts w:ascii="Arial" w:cs="Arial" w:eastAsia="Arial" w:hAnsi="Arial"/>
          <w:color w:val="888899"/>
          <w:sz w:val="22"/>
          <w:szCs w:val="22"/>
        </w:rPr>
        <w:t xml:space="preserve">James R. Pitts II — AA2 Adaptive Advantage Laboratories, S.A.</w:t>
      </w:r>
    </w:p>
    <w:p>
      <w:pPr>
        <w:spacing w:after="0" w:before="0"/>
        <w:jc w:val="center"/>
      </w:pPr>
      <w:r>
        <w:rPr>
          <w:rFonts w:ascii="Arial" w:cs="Arial" w:eastAsia="Arial" w:hAnsi="Arial"/>
          <w:color w:val="1A5276"/>
          <w:sz w:val="22"/>
          <w:szCs w:val="22"/>
        </w:rPr>
        <w:t xml:space="preserve">github.com/AA2LABS/aa2-scan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A0A0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2026-03-09T21:35:52.431Z</dcterms:created>
  <dcterms:modified xsi:type="dcterms:W3CDTF">2026-03-09T21:35:52.432Z</dcterms:modified>
</cp:coreProperties>
</file>

<file path=docProps/custom.xml><?xml version="1.0" encoding="utf-8"?>
<Properties xmlns="http://schemas.openxmlformats.org/officeDocument/2006/custom-properties" xmlns:vt="http://schemas.openxmlformats.org/officeDocument/2006/docPropsVTypes"/>
</file>