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440"/>
        <w:jc w:val="center"/>
      </w:pPr>
      <w:r>
        <w:rPr>
          <w:rFonts w:ascii="Arial" w:cs="Arial" w:eastAsia="Arial" w:hAnsi="Arial"/>
          <w:b/>
          <w:bCs/>
          <w:caps/>
          <w:color w:val="888780"/>
          <w:sz w:val="20"/>
          <w:szCs w:val="20"/>
        </w:rPr>
        <w:t xml:space="preserve">AA2 ADAPTIVE ADVANTAGE LABORATORIES, S.A.</w:t>
      </w:r>
    </w:p>
    <w:p>
      <w:pPr>
        <w:spacing w:after="240" w:before="0"/>
        <w:jc w:val="center"/>
      </w:pPr>
      <w:r>
        <w:rPr>
          <w:rFonts w:ascii="Arial" w:cs="Arial" w:eastAsia="Arial" w:hAnsi="Arial"/>
          <w:b/>
          <w:bCs/>
          <w:color w:val="C49A2A"/>
          <w:sz w:val="48"/>
          <w:szCs w:val="48"/>
        </w:rPr>
        <w:t xml:space="preserve">CANON v36 — SEALED</w:t>
      </w:r>
    </w:p>
    <w:p>
      <w:pPr>
        <w:spacing w:after="60" w:before="0"/>
        <w:jc w:val="center"/>
      </w:pPr>
      <w:r>
        <w:rPr>
          <w:rFonts w:ascii="Arial" w:cs="Arial" w:eastAsia="Arial" w:hAnsi="Arial"/>
          <w:color w:val="5F5E5A"/>
          <w:sz w:val="24"/>
          <w:szCs w:val="24"/>
        </w:rPr>
        <w:t xml:space="preserve">S.C.A.N. · Apothecary · Forager · Chemical Doctrine · Allergy &amp; Life Scanner</w:t>
      </w:r>
    </w:p>
    <w:p>
      <w:pPr>
        <w:spacing w:after="1440" w:before="0"/>
        <w:jc w:val="center"/>
      </w:pPr>
      <w:r>
        <w:rPr>
          <w:rFonts w:ascii="Arial" w:cs="Arial" w:eastAsia="Arial" w:hAnsi="Arial"/>
          <w:color w:val="888780"/>
          <w:sz w:val="20"/>
          <w:szCs w:val="20"/>
        </w:rPr>
        <w:t xml:space="preserve">April 2026</w:t>
      </w:r>
    </w:p>
    <w:p>
      <w:pPr>
        <w:pBdr>
          <w:bottom w:val="single" w:color="C49A2A" w:sz="4" w:space="1"/>
        </w:pBdr>
        <w:spacing w:after="160" w:before="160"/>
      </w:pPr>
      <w:r>
        <w:t xml:space="preserve"/>
      </w:r>
    </w:p>
    <w:p>
      <w:pPr>
        <w:spacing w:after="60" w:before="240"/>
        <w:jc w:val="center"/>
      </w:pPr>
      <w:r>
        <w:rPr>
          <w:rFonts w:ascii="Arial" w:cs="Arial" w:eastAsia="Arial" w:hAnsi="Arial"/>
          <w:b/>
          <w:bCs/>
          <w:caps/>
          <w:color w:val="888780"/>
          <w:sz w:val="20"/>
          <w:szCs w:val="20"/>
        </w:rPr>
        <w:t xml:space="preserve">FOUNDING DOCTRINE</w:t>
      </w:r>
    </w:p>
    <w:p>
      <w:pPr>
        <w:spacing w:after="60" w:before="0"/>
        <w:jc w:val="center"/>
      </w:pPr>
      <w:r>
        <w:rPr>
          <w:rFonts w:ascii="Arial" w:cs="Arial" w:eastAsia="Arial" w:hAnsi="Arial"/>
          <w:b/>
          <w:bCs/>
          <w:color w:val="0A0804"/>
          <w:sz w:val="28"/>
          <w:szCs w:val="28"/>
        </w:rPr>
        <w:t xml:space="preserve">“I AM THE RECEIPT”</w:t>
      </w:r>
    </w:p>
    <w:p>
      <w:pPr>
        <w:spacing w:after="240" w:before="0"/>
        <w:jc w:val="center"/>
      </w:pPr>
      <w:r>
        <w:rPr>
          <w:rFonts w:ascii="Arial" w:cs="Arial" w:eastAsia="Arial" w:hAnsi="Arial"/>
          <w:i/>
          <w:iCs/>
          <w:color w:val="5F5E5A"/>
          <w:sz w:val="20"/>
          <w:szCs w:val="20"/>
        </w:rPr>
        <w:t xml:space="preserve">Mr. Pitts is Customer #1. He goes live first. He is the living proof of concept.</w:t>
      </w:r>
    </w:p>
    <w:p>
      <w:pPr>
        <w:spacing w:after="60" w:before="0"/>
        <w:jc w:val="center"/>
      </w:pPr>
      <w:r>
        <w:rPr>
          <w:rFonts w:ascii="Arial" w:cs="Arial" w:eastAsia="Arial" w:hAnsi="Arial"/>
          <w:b/>
          <w:bCs/>
          <w:caps/>
          <w:color w:val="888780"/>
          <w:sz w:val="20"/>
          <w:szCs w:val="20"/>
        </w:rPr>
        <w:t xml:space="preserve">CANONICAL POSITIONING</w:t>
      </w:r>
    </w:p>
    <w:p>
      <w:pPr>
        <w:spacing w:after="480" w:before="0"/>
        <w:jc w:val="center"/>
      </w:pPr>
      <w:r>
        <w:rPr>
          <w:rFonts w:ascii="Arial" w:cs="Arial" w:eastAsia="Arial" w:hAnsi="Arial"/>
          <w:b/>
          <w:bCs/>
          <w:i/>
          <w:iCs/>
          <w:color w:val="C49A2A"/>
          <w:sz w:val="24"/>
          <w:szCs w:val="24"/>
        </w:rPr>
        <w:t xml:space="preserve">“AA2 is not a scanner. It’s what happens when your life finally has a nervous system.”</w:t>
      </w:r>
    </w:p>
    <w:p>
      <w:r>
        <w:br w:type="page"/>
      </w:r>
    </w:p>
    <w:p>
      <w:pPr>
        <w:pStyle w:val="Heading1"/>
        <w:spacing w:after="160" w:before="320"/>
      </w:pPr>
      <w:r>
        <w:rPr>
          <w:rFonts w:ascii="Arial" w:cs="Arial" w:eastAsia="Arial" w:hAnsi="Arial"/>
          <w:b/>
          <w:bCs/>
          <w:color w:val="0A0804"/>
          <w:sz w:val="36"/>
          <w:szCs w:val="36"/>
        </w:rPr>
        <w:t xml:space="preserve">Section 1 · The Three Pillars (Internal Only — Never Public-Facing)</w:t>
      </w:r>
    </w:p>
    <w:p>
      <w:pPr>
        <w:spacing w:after="80" w:before="80"/>
      </w:pPr>
      <w:r>
        <w:rPr>
          <w:rFonts w:ascii="Arial" w:cs="Arial" w:eastAsia="Arial" w:hAnsi="Arial"/>
          <w:color w:val="2C2C2A"/>
          <w:sz w:val="22"/>
          <w:szCs w:val="22"/>
        </w:rPr>
        <w:t xml:space="preserve">The Three Pillars are the hidden recipe. They must never be omitted from any Canon document. They are the foundational architecture beneath everything AA2 builds.</w:t>
      </w:r>
    </w:p>
    <w:p>
      <w:pPr>
        <w:spacing w:after="60" w:before="60"/>
      </w:pPr>
      <w:r>
        <w:t xml:space="preserve"/>
      </w:r>
    </w:p>
    <w:p>
      <w:pPr>
        <w:pStyle w:val="Heading3"/>
        <w:spacing w:after="80" w:before="180"/>
      </w:pPr>
      <w:r>
        <w:rPr>
          <w:rFonts w:ascii="Arial" w:cs="Arial" w:eastAsia="Arial" w:hAnsi="Arial"/>
          <w:b/>
          <w:bCs/>
          <w:color w:val="444441"/>
          <w:sz w:val="24"/>
          <w:szCs w:val="24"/>
        </w:rPr>
        <w:t xml:space="preserve">Pillar 1 — The Kybalion (Hermetic Correspondence)</w:t>
      </w:r>
    </w:p>
    <w:p>
      <w:pPr>
        <w:spacing w:after="80" w:before="80"/>
      </w:pPr>
      <w:r>
        <w:rPr>
          <w:rFonts w:ascii="Arial" w:cs="Arial" w:eastAsia="Arial" w:hAnsi="Arial"/>
          <w:color w:val="2C2C2A"/>
          <w:sz w:val="22"/>
          <w:szCs w:val="22"/>
        </w:rPr>
        <w:t xml:space="preserve">AS ABOVE SO BELOW. The body is the architecture blueprint. Every AA2 system maps to a biological function because the membrane is modeled after the human body. This is not metaphor. This is structural law.</w:t>
      </w:r>
    </w:p>
    <w:p>
      <w:pPr>
        <w:spacing w:after="60" w:before="60"/>
      </w:pPr>
      <w:r>
        <w:t xml:space="preserve"/>
      </w:r>
    </w:p>
    <w:p>
      <w:pPr>
        <w:pStyle w:val="Heading3"/>
        <w:spacing w:after="80" w:before="180"/>
      </w:pPr>
      <w:r>
        <w:rPr>
          <w:rFonts w:ascii="Arial" w:cs="Arial" w:eastAsia="Arial" w:hAnsi="Arial"/>
          <w:b/>
          <w:bCs/>
          <w:color w:val="444441"/>
          <w:sz w:val="24"/>
          <w:szCs w:val="24"/>
        </w:rPr>
        <w:t xml:space="preserve">Pillar 2 — Ancient Kemet Initiate Doctrine</w:t>
      </w:r>
    </w:p>
    <w:p>
      <w:pPr>
        <w:spacing w:after="80" w:before="80"/>
      </w:pPr>
      <w:r>
        <w:rPr>
          <w:rFonts w:ascii="Arial" w:cs="Arial" w:eastAsia="Arial" w:hAnsi="Arial"/>
          <w:color w:val="2C2C2A"/>
          <w:sz w:val="22"/>
          <w:szCs w:val="22"/>
        </w:rPr>
        <w:t xml:space="preserve">Onboarding IS the initiation. There is no casual entry into the membrane. The questions are the ceremony. The answers are the covenant. Personal Care Share is not a form — it is a declaration.</w:t>
      </w:r>
    </w:p>
    <w:p>
      <w:pPr>
        <w:spacing w:after="60" w:before="60"/>
      </w:pPr>
      <w:r>
        <w:t xml:space="preserve"/>
      </w:r>
    </w:p>
    <w:p>
      <w:pPr>
        <w:pStyle w:val="Heading3"/>
        <w:spacing w:after="80" w:before="180"/>
      </w:pPr>
      <w:r>
        <w:rPr>
          <w:rFonts w:ascii="Arial" w:cs="Arial" w:eastAsia="Arial" w:hAnsi="Arial"/>
          <w:b/>
          <w:bCs/>
          <w:color w:val="444441"/>
          <w:sz w:val="24"/>
          <w:szCs w:val="24"/>
        </w:rPr>
        <w:t xml:space="preserve">Pillar 3 — Joe Dispenza Neuroscience of Transformation</w:t>
      </w:r>
    </w:p>
    <w:p>
      <w:pPr>
        <w:spacing w:after="80" w:before="80"/>
      </w:pPr>
      <w:r>
        <w:rPr>
          <w:rFonts w:ascii="Arial" w:cs="Arial" w:eastAsia="Arial" w:hAnsi="Arial"/>
          <w:color w:val="2C2C2A"/>
          <w:sz w:val="22"/>
          <w:szCs w:val="22"/>
        </w:rPr>
        <w:t xml:space="preserve">The 30/60/90-day baseline equals neurological rewiring timeline. The membrane does not just track your body — it participates in its transformation. The center line is not a snapshot. It is a living standard that evolves as you evolve.</w:t>
      </w:r>
    </w:p>
    <w:p>
      <w:pPr>
        <w:pBdr>
          <w:bottom w:val="single" w:color="C49A2A" w:sz="4" w:space="1"/>
        </w:pBdr>
        <w:spacing w:after="160" w:before="160"/>
      </w:pPr>
      <w:r>
        <w:t xml:space="preserve"/>
      </w:r>
    </w:p>
    <w:p>
      <w:pPr>
        <w:pStyle w:val="Heading1"/>
        <w:spacing w:after="160" w:before="320"/>
      </w:pPr>
      <w:r>
        <w:rPr>
          <w:rFonts w:ascii="Arial" w:cs="Arial" w:eastAsia="Arial" w:hAnsi="Arial"/>
          <w:b/>
          <w:bCs/>
          <w:color w:val="0A0804"/>
          <w:sz w:val="36"/>
          <w:szCs w:val="36"/>
        </w:rPr>
        <w:t xml:space="preserve">Section 2 · S.C.A.N. — Official Acronym (Permanently Locked)</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AF7F2" w:val="clear"/>
            <w:tcMar>
              <w:top w:type="dxa" w:w="120"/>
              <w:left w:type="dxa" w:w="180"/>
              <w:bottom w:type="dxa" w:w="120"/>
              <w:right w:type="dxa" w:w="180"/>
            </w:tcMar>
          </w:tcPr>
          <w:p>
            <w:pPr>
              <w:spacing w:after="80" w:before="40"/>
            </w:pPr>
            <w:r>
              <w:rPr>
                <w:rFonts w:ascii="Arial" w:cs="Arial" w:eastAsia="Arial" w:hAnsi="Arial"/>
                <w:b/>
                <w:bCs/>
                <w:color w:val="C49A2A"/>
                <w:sz w:val="20"/>
                <w:szCs w:val="20"/>
              </w:rPr>
              <w:t xml:space="preserve">S.C.A.N. = Safety Clarifier Adaptive Nerve</w:t>
            </w:r>
          </w:p>
          <w:p>
            <w:pPr>
              <w:spacing w:after="40" w:before="0"/>
            </w:pPr>
            <w:r>
              <w:rPr>
                <w:rFonts w:ascii="Arial" w:cs="Arial" w:eastAsia="Arial" w:hAnsi="Arial"/>
                <w:color w:val="2C2C2A"/>
                <w:sz w:val="20"/>
                <w:szCs w:val="20"/>
              </w:rPr>
              <w:t xml:space="preserve">This is the official expanded name of the scanner. Never use another definition. This applies across ALL tabs: food, meat, produce, personal care, canine, equestrian, cattle, on-grid/off-grid, Forager, and Apothecary.</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5040"/>
      </w:tblGrid>
      <w:tr>
        <w:tc>
          <w:tcPr>
            <w:tcW w:type="dxa" w:w="4320"/>
            <w:tcBorders>
              <w:top w:val="none" w:color="FFFFFF" w:sz="0"/>
              <w:left w:val="none" w:color="FFFFFF" w:sz="0"/>
              <w:bottom w:val="none" w:color="FFFFFF" w:sz="0"/>
              <w:right w:val="none" w:color="FFFFFF" w:sz="0"/>
            </w:tcBorders>
            <w:tcMar>
              <w:top w:type="dxa" w:w="60"/>
              <w:left w:type="dxa" w:w="0"/>
              <w:bottom w:type="dxa" w:w="60"/>
              <w:right w:type="dxa" w:w="180"/>
            </w:tcMar>
          </w:tcPr>
          <w:p>
            <w:pPr>
              <w:spacing w:after="40" w:before="120"/>
            </w:pPr>
            <w:r>
              <w:rPr>
                <w:rFonts w:ascii="Arial" w:cs="Arial" w:eastAsia="Arial" w:hAnsi="Arial"/>
                <w:b/>
                <w:bCs/>
                <w:caps/>
                <w:color w:val="888780"/>
                <w:sz w:val="18"/>
                <w:szCs w:val="18"/>
              </w:rPr>
              <w:t xml:space="preserve">S — SAFETY</w:t>
            </w:r>
          </w:p>
          <w:p>
            <w:pPr>
              <w:spacing w:after="80" w:before="80"/>
            </w:pPr>
            <w:r>
              <w:rPr>
                <w:rFonts w:ascii="Arial" w:cs="Arial" w:eastAsia="Arial" w:hAnsi="Arial"/>
                <w:color w:val="2C2C2A"/>
                <w:sz w:val="22"/>
                <w:szCs w:val="22"/>
              </w:rPr>
              <w:t xml:space="preserve">Protection-first. The scanner never acts as a neutral observer. It always filters through the question: is this safe for this member, this animal, this environment, right now?</w:t>
            </w:r>
          </w:p>
          <w:p>
            <w:pPr>
              <w:spacing w:after="60" w:before="60"/>
            </w:pPr>
            <w:r>
              <w:t xml:space="preserve"/>
            </w:r>
          </w:p>
          <w:p>
            <w:pPr>
              <w:spacing w:after="40" w:before="120"/>
            </w:pPr>
            <w:r>
              <w:rPr>
                <w:rFonts w:ascii="Arial" w:cs="Arial" w:eastAsia="Arial" w:hAnsi="Arial"/>
                <w:b/>
                <w:bCs/>
                <w:caps/>
                <w:color w:val="888780"/>
                <w:sz w:val="18"/>
                <w:szCs w:val="18"/>
              </w:rPr>
              <w:t xml:space="preserve">C — CLARIFIER</w:t>
            </w:r>
          </w:p>
          <w:p>
            <w:pPr>
              <w:spacing w:after="80" w:before="80"/>
            </w:pPr>
            <w:r>
              <w:rPr>
                <w:rFonts w:ascii="Arial" w:cs="Arial" w:eastAsia="Arial" w:hAnsi="Arial"/>
                <w:color w:val="2C2C2A"/>
                <w:sz w:val="22"/>
                <w:szCs w:val="22"/>
              </w:rPr>
              <w:t xml:space="preserve">Ongoing interpretation, not labeling. S.C.A.N. does not sort things into boxes. It clarifies safety, suitability, relevance, and response across the living membrane continuously.</w:t>
            </w:r>
          </w:p>
        </w:tc>
        <w:tc>
          <w:tcPr>
            <w:tcW w:type="dxa" w:w="5040"/>
            <w:tcBorders>
              <w:top w:val="none" w:color="FFFFFF" w:sz="0"/>
              <w:left w:val="none" w:color="FFFFFF" w:sz="0"/>
              <w:bottom w:val="none" w:color="FFFFFF" w:sz="0"/>
              <w:right w:val="none" w:color="FFFFFF" w:sz="0"/>
            </w:tcBorders>
            <w:tcMar>
              <w:top w:type="dxa" w:w="60"/>
              <w:left w:type="dxa" w:w="180"/>
              <w:bottom w:type="dxa" w:w="60"/>
              <w:right w:type="dxa" w:w="0"/>
            </w:tcMar>
          </w:tcPr>
          <w:p>
            <w:pPr>
              <w:spacing w:after="40" w:before="120"/>
            </w:pPr>
            <w:r>
              <w:rPr>
                <w:rFonts w:ascii="Arial" w:cs="Arial" w:eastAsia="Arial" w:hAnsi="Arial"/>
                <w:b/>
                <w:bCs/>
                <w:caps/>
                <w:color w:val="888780"/>
                <w:sz w:val="18"/>
                <w:szCs w:val="18"/>
              </w:rPr>
              <w:t xml:space="preserve">A — ADAPTIVE</w:t>
            </w:r>
          </w:p>
          <w:p>
            <w:pPr>
              <w:spacing w:after="80" w:before="80"/>
            </w:pPr>
            <w:r>
              <w:rPr>
                <w:rFonts w:ascii="Arial" w:cs="Arial" w:eastAsia="Arial" w:hAnsi="Arial"/>
                <w:color w:val="2C2C2A"/>
                <w:sz w:val="22"/>
                <w:szCs w:val="22"/>
              </w:rPr>
              <w:t xml:space="preserve">Adjusts by species, context, environment, and user. The same scan on the same product returns different intelligence depending on who is holding the phone, what species are in their care, and what their biosignal history shows.</w:t>
            </w:r>
          </w:p>
          <w:p>
            <w:pPr>
              <w:spacing w:after="60" w:before="60"/>
            </w:pPr>
            <w:r>
              <w:t xml:space="preserve"/>
            </w:r>
          </w:p>
          <w:p>
            <w:pPr>
              <w:spacing w:after="40" w:before="120"/>
            </w:pPr>
            <w:r>
              <w:rPr>
                <w:rFonts w:ascii="Arial" w:cs="Arial" w:eastAsia="Arial" w:hAnsi="Arial"/>
                <w:b/>
                <w:bCs/>
                <w:caps/>
                <w:color w:val="888780"/>
                <w:sz w:val="18"/>
                <w:szCs w:val="18"/>
              </w:rPr>
              <w:t xml:space="preserve">N — NERVE</w:t>
            </w:r>
          </w:p>
          <w:p>
            <w:pPr>
              <w:spacing w:after="80" w:before="80"/>
            </w:pPr>
            <w:r>
              <w:rPr>
                <w:rFonts w:ascii="Arial" w:cs="Arial" w:eastAsia="Arial" w:hAnsi="Arial"/>
                <w:color w:val="2C2C2A"/>
                <w:sz w:val="22"/>
                <w:szCs w:val="22"/>
              </w:rPr>
              <w:t xml:space="preserve">Living signal layer of the membrane. S.C.A.N. is not a feature inside AA2. It is the nervous system of the membrane — the layer that feels the world before the body responds.</w:t>
            </w:r>
          </w:p>
        </w:tc>
      </w:tr>
    </w:tbl>
    <w:p>
      <w:pPr>
        <w:spacing w:after="60" w:before="60"/>
      </w:pPr>
      <w:r>
        <w:t xml:space="preserve"/>
      </w:r>
    </w:p>
    <w:p>
      <w:pPr>
        <w:spacing w:after="80" w:before="80"/>
      </w:pPr>
      <w:r>
        <w:rPr>
          <w:rFonts w:ascii="Arial" w:cs="Arial" w:eastAsia="Arial" w:hAnsi="Arial"/>
          <w:b/>
          <w:bCs/>
          <w:color w:val="2C2C2A"/>
          <w:sz w:val="22"/>
          <w:szCs w:val="22"/>
        </w:rPr>
        <w:t xml:space="preserve">S.C.A.N. applies across all tab contexts:</w:t>
      </w:r>
    </w:p>
    <w:p>
      <w:pPr>
        <w:pStyle w:val="ListParagraph"/>
        <w:numPr>
          <w:ilvl w:val="0"/>
          <w:numId w:val="2"/>
        </w:numPr>
        <w:spacing w:after="40" w:before="40"/>
        <w:ind w:left="720" w:hanging="360"/>
      </w:pPr>
      <w:r>
        <w:rPr>
          <w:rFonts w:ascii="Arial" w:cs="Arial" w:eastAsia="Arial" w:hAnsi="Arial"/>
          <w:color w:val="2C2C2A"/>
          <w:sz w:val="22"/>
          <w:szCs w:val="22"/>
        </w:rPr>
        <w:t xml:space="preserve">Food · Meat · Produce · Personal Care</w:t>
      </w:r>
    </w:p>
    <w:p>
      <w:pPr>
        <w:pStyle w:val="ListParagraph"/>
        <w:numPr>
          <w:ilvl w:val="0"/>
          <w:numId w:val="2"/>
        </w:numPr>
        <w:spacing w:after="40" w:before="40"/>
        <w:ind w:left="720" w:hanging="360"/>
      </w:pPr>
      <w:r>
        <w:rPr>
          <w:rFonts w:ascii="Arial" w:cs="Arial" w:eastAsia="Arial" w:hAnsi="Arial"/>
          <w:color w:val="2C2C2A"/>
          <w:sz w:val="22"/>
          <w:szCs w:val="22"/>
        </w:rPr>
        <w:t xml:space="preserve">K9/Pet · Equestrian · Cattle</w:t>
      </w:r>
    </w:p>
    <w:p>
      <w:pPr>
        <w:pStyle w:val="ListParagraph"/>
        <w:numPr>
          <w:ilvl w:val="0"/>
          <w:numId w:val="2"/>
        </w:numPr>
        <w:spacing w:after="40" w:before="40"/>
        <w:ind w:left="720" w:hanging="360"/>
      </w:pPr>
      <w:r>
        <w:rPr>
          <w:rFonts w:ascii="Arial" w:cs="Arial" w:eastAsia="Arial" w:hAnsi="Arial"/>
          <w:color w:val="2C2C2A"/>
          <w:sz w:val="22"/>
          <w:szCs w:val="22"/>
        </w:rPr>
        <w:t xml:space="preserve">On-Grid / Off-Grid (Chauffeur map)</w:t>
      </w:r>
    </w:p>
    <w:p>
      <w:pPr>
        <w:pStyle w:val="ListParagraph"/>
        <w:numPr>
          <w:ilvl w:val="0"/>
          <w:numId w:val="2"/>
        </w:numPr>
        <w:spacing w:after="40" w:before="40"/>
        <w:ind w:left="720" w:hanging="360"/>
      </w:pPr>
      <w:r>
        <w:rPr>
          <w:rFonts w:ascii="Arial" w:cs="Arial" w:eastAsia="Arial" w:hAnsi="Arial"/>
          <w:color w:val="2C2C2A"/>
          <w:sz w:val="22"/>
          <w:szCs w:val="22"/>
        </w:rPr>
        <w:t xml:space="preserve">Apothecary (Spoke 34) · Forager (Spoke 35)</w:t>
      </w:r>
    </w:p>
    <w:p>
      <w:pPr>
        <w:pBdr>
          <w:bottom w:val="single" w:color="C49A2A" w:sz="4" w:space="1"/>
        </w:pBdr>
        <w:spacing w:after="160" w:before="160"/>
      </w:pPr>
      <w:r>
        <w:t xml:space="preserve"/>
      </w:r>
    </w:p>
    <w:p>
      <w:pPr>
        <w:pStyle w:val="Heading1"/>
        <w:spacing w:after="160" w:before="320"/>
      </w:pPr>
      <w:r>
        <w:rPr>
          <w:rFonts w:ascii="Arial" w:cs="Arial" w:eastAsia="Arial" w:hAnsi="Arial"/>
          <w:b/>
          <w:bCs/>
          <w:color w:val="0A0804"/>
          <w:sz w:val="36"/>
          <w:szCs w:val="36"/>
        </w:rPr>
        <w:t xml:space="preserve">Section 3 · AA2 Complete Body Map (All 33 Spokes + New Additions)</w:t>
      </w:r>
    </w:p>
    <w:p>
      <w:pPr>
        <w:spacing w:after="80" w:before="80"/>
      </w:pPr>
      <w:r>
        <w:rPr>
          <w:rFonts w:ascii="Arial" w:cs="Arial" w:eastAsia="Arial" w:hAnsi="Arial"/>
          <w:color w:val="2C2C2A"/>
          <w:sz w:val="22"/>
          <w:szCs w:val="22"/>
        </w:rPr>
        <w:t xml:space="preserve">Every AA2 component maps to a biological system. This is architectural proof, not metaphor. Any document missing this map is incomplete.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3960"/>
        <w:gridCol w:w="3960"/>
      </w:tblGrid>
      <w:tr>
        <w:tc>
          <w:tcPr>
            <w:tcW w:type="dxa" w:w="1440"/>
            <w:tcBorders>
              <w:top w:val="single" w:color="CCCCCC" w:sz="1"/>
              <w:left w:val="single" w:color="CCCCCC" w:sz="1"/>
              <w:bottom w:val="single" w:color="CCCCCC" w:sz="1"/>
              <w:right w:val="single" w:color="CCCCCC" w:sz="1"/>
            </w:tcBorders>
            <w:shd w:fill="C49A2A" w:val="clear"/>
            <w:tcMar>
              <w:top w:type="dxa" w:w="80"/>
              <w:left w:type="dxa" w:w="120"/>
              <w:bottom w:type="dxa" w:w="80"/>
              <w:right w:type="dxa" w:w="120"/>
            </w:tcMar>
          </w:tcPr>
          <w:p>
            <w:r>
              <w:rPr>
                <w:rFonts w:ascii="Arial" w:cs="Arial" w:eastAsia="Arial" w:hAnsi="Arial"/>
                <w:b/>
                <w:bCs/>
                <w:color w:val="0A0804"/>
                <w:sz w:val="20"/>
                <w:szCs w:val="20"/>
              </w:rPr>
              <w:t xml:space="preserve">Spoke</w:t>
            </w:r>
          </w:p>
        </w:tc>
        <w:tc>
          <w:tcPr>
            <w:tcW w:type="dxa" w:w="3960"/>
            <w:tcBorders>
              <w:top w:val="single" w:color="CCCCCC" w:sz="1"/>
              <w:left w:val="single" w:color="CCCCCC" w:sz="1"/>
              <w:bottom w:val="single" w:color="CCCCCC" w:sz="1"/>
              <w:right w:val="single" w:color="CCCCCC" w:sz="1"/>
            </w:tcBorders>
            <w:shd w:fill="C49A2A" w:val="clear"/>
            <w:tcMar>
              <w:top w:type="dxa" w:w="80"/>
              <w:left w:type="dxa" w:w="120"/>
              <w:bottom w:type="dxa" w:w="80"/>
              <w:right w:type="dxa" w:w="120"/>
            </w:tcMar>
          </w:tcPr>
          <w:p>
            <w:r>
              <w:rPr>
                <w:rFonts w:ascii="Arial" w:cs="Arial" w:eastAsia="Arial" w:hAnsi="Arial"/>
                <w:b/>
                <w:bCs/>
                <w:color w:val="0A0804"/>
                <w:sz w:val="20"/>
                <w:szCs w:val="20"/>
              </w:rPr>
              <w:t xml:space="preserve">Intelligence / System</w:t>
            </w:r>
          </w:p>
        </w:tc>
        <w:tc>
          <w:tcPr>
            <w:tcW w:type="dxa" w:w="3960"/>
            <w:tcBorders>
              <w:top w:val="single" w:color="CCCCCC" w:sz="1"/>
              <w:left w:val="single" w:color="CCCCCC" w:sz="1"/>
              <w:bottom w:val="single" w:color="CCCCCC" w:sz="1"/>
              <w:right w:val="single" w:color="CCCCCC" w:sz="1"/>
            </w:tcBorders>
            <w:shd w:fill="C49A2A" w:val="clear"/>
            <w:tcMar>
              <w:top w:type="dxa" w:w="80"/>
              <w:left w:type="dxa" w:w="120"/>
              <w:bottom w:type="dxa" w:w="80"/>
              <w:right w:type="dxa" w:w="120"/>
            </w:tcMar>
          </w:tcPr>
          <w:p>
            <w:r>
              <w:rPr>
                <w:rFonts w:ascii="Arial" w:cs="Arial" w:eastAsia="Arial" w:hAnsi="Arial"/>
                <w:b/>
                <w:bCs/>
                <w:color w:val="0A0804"/>
                <w:sz w:val="20"/>
                <w:szCs w:val="20"/>
              </w:rPr>
              <w:t xml:space="preserve">Body System</w:t>
            </w:r>
          </w:p>
        </w:tc>
      </w:tr>
      <w:tr>
        <w:tc>
          <w:tcPr>
            <w:tcW w:type="dxa" w:w="1440"/>
            <w:tcBorders>
              <w:top w:val="single" w:color="CCCCCC" w:sz="1"/>
              <w:left w:val="single" w:color="CCCCCC" w:sz="1"/>
              <w:bottom w:val="single" w:color="CCCCCC" w:sz="1"/>
              <w:right w:val="single" w:color="CCCCCC" w:sz="1"/>
            </w:tcBorders>
            <w:shd w:fill="FAF7F2" w:val="clear"/>
            <w:tcMar>
              <w:top w:type="dxa" w:w="60"/>
              <w:left w:type="dxa" w:w="120"/>
              <w:bottom w:type="dxa" w:w="60"/>
              <w:right w:type="dxa" w:w="120"/>
            </w:tcMar>
          </w:tcPr>
          <w:p>
            <w:r>
              <w:rPr>
                <w:rFonts w:ascii="Arial" w:cs="Arial" w:eastAsia="Arial" w:hAnsi="Arial"/>
                <w:b/>
                <w:bCs/>
                <w:color w:val="C49A2A"/>
                <w:sz w:val="20"/>
                <w:szCs w:val="20"/>
              </w:rPr>
              <w:t xml:space="preserve">1</w:t>
            </w:r>
          </w:p>
        </w:tc>
        <w:tc>
          <w:tcPr>
            <w:tcW w:type="dxa" w:w="3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C2C2A"/>
                <w:sz w:val="20"/>
                <w:szCs w:val="20"/>
              </w:rPr>
              <w:t xml:space="preserve">S.C.A.N. Scanner</w:t>
            </w:r>
          </w:p>
        </w:tc>
        <w:tc>
          <w:tcPr>
            <w:tcW w:type="dxa" w:w="3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i/>
                <w:iCs/>
                <w:color w:val="5F5E5A"/>
                <w:sz w:val="20"/>
                <w:szCs w:val="20"/>
              </w:rPr>
              <w:t xml:space="preserve">Eyes — the body’s sensory intake</w:t>
            </w:r>
          </w:p>
        </w:tc>
      </w:tr>
      <w:tr>
        <w:tc>
          <w:tcPr>
            <w:tcW w:type="dxa" w:w="1440"/>
            <w:tcBorders>
              <w:top w:val="single" w:color="CCCCCC" w:sz="1"/>
              <w:left w:val="single" w:color="CCCCCC" w:sz="1"/>
              <w:bottom w:val="single" w:color="CCCCCC" w:sz="1"/>
              <w:right w:val="single" w:color="CCCCCC" w:sz="1"/>
            </w:tcBorders>
            <w:shd w:fill="FAF7F2" w:val="clear"/>
            <w:tcMar>
              <w:top w:type="dxa" w:w="60"/>
              <w:left w:type="dxa" w:w="120"/>
              <w:bottom w:type="dxa" w:w="60"/>
              <w:right w:type="dxa" w:w="120"/>
            </w:tcMar>
          </w:tcPr>
          <w:p>
            <w:r>
              <w:rPr>
                <w:rFonts w:ascii="Arial" w:cs="Arial" w:eastAsia="Arial" w:hAnsi="Arial"/>
                <w:b/>
                <w:bCs/>
                <w:color w:val="C49A2A"/>
                <w:sz w:val="20"/>
                <w:szCs w:val="20"/>
              </w:rPr>
              <w:t xml:space="preserve">2</w:t>
            </w:r>
          </w:p>
        </w:tc>
        <w:tc>
          <w:tcPr>
            <w:tcW w:type="dxa" w:w="3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C2C2A"/>
                <w:sz w:val="20"/>
                <w:szCs w:val="20"/>
              </w:rPr>
              <w:t xml:space="preserve">The Concierge Onboarding (The Membrane)</w:t>
            </w:r>
          </w:p>
        </w:tc>
        <w:tc>
          <w:tcPr>
            <w:tcW w:type="dxa" w:w="3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i/>
                <w:iCs/>
                <w:color w:val="5F5E5A"/>
                <w:sz w:val="20"/>
                <w:szCs w:val="20"/>
              </w:rPr>
              <w:t xml:space="preserve">Skin — first point of contact with the world</w:t>
            </w:r>
          </w:p>
        </w:tc>
      </w:tr>
      <w:tr>
        <w:tc>
          <w:tcPr>
            <w:tcW w:type="dxa" w:w="1440"/>
            <w:tcBorders>
              <w:top w:val="single" w:color="CCCCCC" w:sz="1"/>
              <w:left w:val="single" w:color="CCCCCC" w:sz="1"/>
              <w:bottom w:val="single" w:color="CCCCCC" w:sz="1"/>
              <w:right w:val="single" w:color="CCCCCC" w:sz="1"/>
            </w:tcBorders>
            <w:shd w:fill="FAF7F2" w:val="clear"/>
            <w:tcMar>
              <w:top w:type="dxa" w:w="60"/>
              <w:left w:type="dxa" w:w="120"/>
              <w:bottom w:type="dxa" w:w="60"/>
              <w:right w:type="dxa" w:w="120"/>
            </w:tcMar>
          </w:tcPr>
          <w:p>
            <w:r>
              <w:rPr>
                <w:rFonts w:ascii="Arial" w:cs="Arial" w:eastAsia="Arial" w:hAnsi="Arial"/>
                <w:b/>
                <w:bCs/>
                <w:color w:val="C49A2A"/>
                <w:sz w:val="20"/>
                <w:szCs w:val="20"/>
              </w:rPr>
              <w:t xml:space="preserve">3</w:t>
            </w:r>
          </w:p>
        </w:tc>
        <w:tc>
          <w:tcPr>
            <w:tcW w:type="dxa" w:w="3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C2C2A"/>
                <w:sz w:val="20"/>
                <w:szCs w:val="20"/>
              </w:rPr>
              <w:t xml:space="preserve">Bio Buddy</w:t>
            </w:r>
          </w:p>
        </w:tc>
        <w:tc>
          <w:tcPr>
            <w:tcW w:type="dxa" w:w="3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i/>
                <w:iCs/>
                <w:color w:val="5F5E5A"/>
                <w:sz w:val="20"/>
                <w:szCs w:val="20"/>
              </w:rPr>
              <w:t xml:space="preserve">Nervous System — interprets internal signals</w:t>
            </w:r>
          </w:p>
        </w:tc>
      </w:tr>
      <w:tr>
        <w:tc>
          <w:tcPr>
            <w:tcW w:type="dxa" w:w="1440"/>
            <w:tcBorders>
              <w:top w:val="single" w:color="CCCCCC" w:sz="1"/>
              <w:left w:val="single" w:color="CCCCCC" w:sz="1"/>
              <w:bottom w:val="single" w:color="CCCCCC" w:sz="1"/>
              <w:right w:val="single" w:color="CCCCCC" w:sz="1"/>
            </w:tcBorders>
            <w:shd w:fill="FAF7F2" w:val="clear"/>
            <w:tcMar>
              <w:top w:type="dxa" w:w="60"/>
              <w:left w:type="dxa" w:w="120"/>
              <w:bottom w:type="dxa" w:w="60"/>
              <w:right w:type="dxa" w:w="120"/>
            </w:tcMar>
          </w:tcPr>
          <w:p>
            <w:r>
              <w:rPr>
                <w:rFonts w:ascii="Arial" w:cs="Arial" w:eastAsia="Arial" w:hAnsi="Arial"/>
                <w:b/>
                <w:bCs/>
                <w:color w:val="C49A2A"/>
                <w:sz w:val="20"/>
                <w:szCs w:val="20"/>
              </w:rPr>
              <w:t xml:space="preserve">4</w:t>
            </w:r>
          </w:p>
        </w:tc>
        <w:tc>
          <w:tcPr>
            <w:tcW w:type="dxa" w:w="3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C2C2A"/>
                <w:sz w:val="20"/>
                <w:szCs w:val="20"/>
              </w:rPr>
              <w:t xml:space="preserve">EQ Visualizer Dashboard</w:t>
            </w:r>
          </w:p>
        </w:tc>
        <w:tc>
          <w:tcPr>
            <w:tcW w:type="dxa" w:w="3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i/>
                <w:iCs/>
                <w:color w:val="5F5E5A"/>
                <w:sz w:val="20"/>
                <w:szCs w:val="20"/>
              </w:rPr>
              <w:t xml:space="preserve">Brain — command and pattern recognition center</w:t>
            </w:r>
          </w:p>
        </w:tc>
      </w:tr>
      <w:tr>
        <w:tc>
          <w:tcPr>
            <w:tcW w:type="dxa" w:w="1440"/>
            <w:tcBorders>
              <w:top w:val="single" w:color="CCCCCC" w:sz="1"/>
              <w:left w:val="single" w:color="CCCCCC" w:sz="1"/>
              <w:bottom w:val="single" w:color="CCCCCC" w:sz="1"/>
              <w:right w:val="single" w:color="CCCCCC" w:sz="1"/>
            </w:tcBorders>
            <w:shd w:fill="FAF7F2" w:val="clear"/>
            <w:tcMar>
              <w:top w:type="dxa" w:w="60"/>
              <w:left w:type="dxa" w:w="120"/>
              <w:bottom w:type="dxa" w:w="60"/>
              <w:right w:type="dxa" w:w="120"/>
            </w:tcMar>
          </w:tcPr>
          <w:p>
            <w:r>
              <w:rPr>
                <w:rFonts w:ascii="Arial" w:cs="Arial" w:eastAsia="Arial" w:hAnsi="Arial"/>
                <w:b/>
                <w:bCs/>
                <w:color w:val="C49A2A"/>
                <w:sz w:val="20"/>
                <w:szCs w:val="20"/>
              </w:rPr>
              <w:t xml:space="preserve">5</w:t>
            </w:r>
          </w:p>
        </w:tc>
        <w:tc>
          <w:tcPr>
            <w:tcW w:type="dxa" w:w="3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C2C2A"/>
                <w:sz w:val="20"/>
                <w:szCs w:val="20"/>
              </w:rPr>
              <w:t xml:space="preserve">The Chef</w:t>
            </w:r>
          </w:p>
        </w:tc>
        <w:tc>
          <w:tcPr>
            <w:tcW w:type="dxa" w:w="3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i/>
                <w:iCs/>
                <w:color w:val="5F5E5A"/>
                <w:sz w:val="20"/>
                <w:szCs w:val="20"/>
              </w:rPr>
              <w:t xml:space="preserve">Digestive System — processes and nourishes</w:t>
            </w:r>
          </w:p>
        </w:tc>
      </w:tr>
      <w:tr>
        <w:tc>
          <w:tcPr>
            <w:tcW w:type="dxa" w:w="1440"/>
            <w:tcBorders>
              <w:top w:val="single" w:color="CCCCCC" w:sz="1"/>
              <w:left w:val="single" w:color="CCCCCC" w:sz="1"/>
              <w:bottom w:val="single" w:color="CCCCCC" w:sz="1"/>
              <w:right w:val="single" w:color="CCCCCC" w:sz="1"/>
            </w:tcBorders>
            <w:shd w:fill="FAF7F2" w:val="clear"/>
            <w:tcMar>
              <w:top w:type="dxa" w:w="60"/>
              <w:left w:type="dxa" w:w="120"/>
              <w:bottom w:type="dxa" w:w="60"/>
              <w:right w:type="dxa" w:w="120"/>
            </w:tcMar>
          </w:tcPr>
          <w:p>
            <w:r>
              <w:rPr>
                <w:rFonts w:ascii="Arial" w:cs="Arial" w:eastAsia="Arial" w:hAnsi="Arial"/>
                <w:b/>
                <w:bCs/>
                <w:color w:val="C49A2A"/>
                <w:sz w:val="20"/>
                <w:szCs w:val="20"/>
              </w:rPr>
              <w:t xml:space="preserve">6</w:t>
            </w:r>
          </w:p>
        </w:tc>
        <w:tc>
          <w:tcPr>
            <w:tcW w:type="dxa" w:w="3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C2C2A"/>
                <w:sz w:val="20"/>
                <w:szCs w:val="20"/>
              </w:rPr>
              <w:t xml:space="preserve">The Vault</w:t>
            </w:r>
          </w:p>
        </w:tc>
        <w:tc>
          <w:tcPr>
            <w:tcW w:type="dxa" w:w="3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i/>
                <w:iCs/>
                <w:color w:val="5F5E5A"/>
                <w:sz w:val="20"/>
                <w:szCs w:val="20"/>
              </w:rPr>
              <w:t xml:space="preserve">Circulatory System — stores and distributes</w:t>
            </w:r>
          </w:p>
        </w:tc>
      </w:tr>
      <w:tr>
        <w:tc>
          <w:tcPr>
            <w:tcW w:type="dxa" w:w="1440"/>
            <w:tcBorders>
              <w:top w:val="single" w:color="CCCCCC" w:sz="1"/>
              <w:left w:val="single" w:color="CCCCCC" w:sz="1"/>
              <w:bottom w:val="single" w:color="CCCCCC" w:sz="1"/>
              <w:right w:val="single" w:color="CCCCCC" w:sz="1"/>
            </w:tcBorders>
            <w:shd w:fill="FAF7F2" w:val="clear"/>
            <w:tcMar>
              <w:top w:type="dxa" w:w="60"/>
              <w:left w:type="dxa" w:w="120"/>
              <w:bottom w:type="dxa" w:w="60"/>
              <w:right w:type="dxa" w:w="120"/>
            </w:tcMar>
          </w:tcPr>
          <w:p>
            <w:r>
              <w:rPr>
                <w:rFonts w:ascii="Arial" w:cs="Arial" w:eastAsia="Arial" w:hAnsi="Arial"/>
                <w:b/>
                <w:bCs/>
                <w:color w:val="C49A2A"/>
                <w:sz w:val="20"/>
                <w:szCs w:val="20"/>
              </w:rPr>
              <w:t xml:space="preserve">7</w:t>
            </w:r>
          </w:p>
        </w:tc>
        <w:tc>
          <w:tcPr>
            <w:tcW w:type="dxa" w:w="3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C2C2A"/>
                <w:sz w:val="20"/>
                <w:szCs w:val="20"/>
              </w:rPr>
              <w:t xml:space="preserve">The Equalizer</w:t>
            </w:r>
          </w:p>
        </w:tc>
        <w:tc>
          <w:tcPr>
            <w:tcW w:type="dxa" w:w="3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i/>
                <w:iCs/>
                <w:color w:val="5F5E5A"/>
                <w:sz w:val="20"/>
                <w:szCs w:val="20"/>
              </w:rPr>
              <w:t xml:space="preserve">Immune System — detects and neutralizes threats</w:t>
            </w:r>
          </w:p>
        </w:tc>
      </w:tr>
      <w:tr>
        <w:tc>
          <w:tcPr>
            <w:tcW w:type="dxa" w:w="1440"/>
            <w:tcBorders>
              <w:top w:val="single" w:color="CCCCCC" w:sz="1"/>
              <w:left w:val="single" w:color="CCCCCC" w:sz="1"/>
              <w:bottom w:val="single" w:color="CCCCCC" w:sz="1"/>
              <w:right w:val="single" w:color="CCCCCC" w:sz="1"/>
            </w:tcBorders>
            <w:shd w:fill="FAF7F2" w:val="clear"/>
            <w:tcMar>
              <w:top w:type="dxa" w:w="60"/>
              <w:left w:type="dxa" w:w="120"/>
              <w:bottom w:type="dxa" w:w="60"/>
              <w:right w:type="dxa" w:w="120"/>
            </w:tcMar>
          </w:tcPr>
          <w:p>
            <w:r>
              <w:rPr>
                <w:rFonts w:ascii="Arial" w:cs="Arial" w:eastAsia="Arial" w:hAnsi="Arial"/>
                <w:b/>
                <w:bCs/>
                <w:color w:val="C49A2A"/>
                <w:sz w:val="20"/>
                <w:szCs w:val="20"/>
              </w:rPr>
              <w:t xml:space="preserve">8</w:t>
            </w:r>
          </w:p>
        </w:tc>
        <w:tc>
          <w:tcPr>
            <w:tcW w:type="dxa" w:w="3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C2C2A"/>
                <w:sz w:val="20"/>
                <w:szCs w:val="20"/>
              </w:rPr>
              <w:t xml:space="preserve">The Chauffeur</w:t>
            </w:r>
          </w:p>
        </w:tc>
        <w:tc>
          <w:tcPr>
            <w:tcW w:type="dxa" w:w="3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i/>
                <w:iCs/>
                <w:color w:val="5F5E5A"/>
                <w:sz w:val="20"/>
                <w:szCs w:val="20"/>
              </w:rPr>
              <w:t xml:space="preserve">Musculoskeletal — moves through environments</w:t>
            </w:r>
          </w:p>
        </w:tc>
      </w:tr>
      <w:tr>
        <w:tc>
          <w:tcPr>
            <w:tcW w:type="dxa" w:w="1440"/>
            <w:tcBorders>
              <w:top w:val="single" w:color="CCCCCC" w:sz="1"/>
              <w:left w:val="single" w:color="CCCCCC" w:sz="1"/>
              <w:bottom w:val="single" w:color="CCCCCC" w:sz="1"/>
              <w:right w:val="single" w:color="CCCCCC" w:sz="1"/>
            </w:tcBorders>
            <w:shd w:fill="FAF7F2" w:val="clear"/>
            <w:tcMar>
              <w:top w:type="dxa" w:w="60"/>
              <w:left w:type="dxa" w:w="120"/>
              <w:bottom w:type="dxa" w:w="60"/>
              <w:right w:type="dxa" w:w="120"/>
            </w:tcMar>
          </w:tcPr>
          <w:p>
            <w:r>
              <w:rPr>
                <w:rFonts w:ascii="Arial" w:cs="Arial" w:eastAsia="Arial" w:hAnsi="Arial"/>
                <w:b/>
                <w:bCs/>
                <w:color w:val="C49A2A"/>
                <w:sz w:val="20"/>
                <w:szCs w:val="20"/>
              </w:rPr>
              <w:t xml:space="preserve">17</w:t>
            </w:r>
          </w:p>
        </w:tc>
        <w:tc>
          <w:tcPr>
            <w:tcW w:type="dxa" w:w="3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C2C2A"/>
                <w:sz w:val="20"/>
                <w:szCs w:val="20"/>
              </w:rPr>
              <w:t xml:space="preserve">Depth-On-Demand Learning Center</w:t>
            </w:r>
          </w:p>
        </w:tc>
        <w:tc>
          <w:tcPr>
            <w:tcW w:type="dxa" w:w="3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i/>
                <w:iCs/>
                <w:color w:val="5F5E5A"/>
                <w:sz w:val="20"/>
                <w:szCs w:val="20"/>
              </w:rPr>
              <w:t xml:space="preserve">Prefrontal Cortex — higher-order learning</w:t>
            </w:r>
          </w:p>
        </w:tc>
      </w:tr>
      <w:tr>
        <w:tc>
          <w:tcPr>
            <w:tcW w:type="dxa" w:w="1440"/>
            <w:tcBorders>
              <w:top w:val="single" w:color="CCCCCC" w:sz="1"/>
              <w:left w:val="single" w:color="CCCCCC" w:sz="1"/>
              <w:bottom w:val="single" w:color="CCCCCC" w:sz="1"/>
              <w:right w:val="single" w:color="CCCCCC" w:sz="1"/>
            </w:tcBorders>
            <w:shd w:fill="FAF7F2" w:val="clear"/>
            <w:tcMar>
              <w:top w:type="dxa" w:w="60"/>
              <w:left w:type="dxa" w:w="120"/>
              <w:bottom w:type="dxa" w:w="60"/>
              <w:right w:type="dxa" w:w="120"/>
            </w:tcMar>
          </w:tcPr>
          <w:p>
            <w:r>
              <w:rPr>
                <w:rFonts w:ascii="Arial" w:cs="Arial" w:eastAsia="Arial" w:hAnsi="Arial"/>
                <w:b/>
                <w:bCs/>
                <w:color w:val="C49A2A"/>
                <w:sz w:val="20"/>
                <w:szCs w:val="20"/>
              </w:rPr>
              <w:t xml:space="preserve">19</w:t>
            </w:r>
          </w:p>
        </w:tc>
        <w:tc>
          <w:tcPr>
            <w:tcW w:type="dxa" w:w="3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C2C2A"/>
                <w:sz w:val="20"/>
                <w:szCs w:val="20"/>
              </w:rPr>
              <w:t xml:space="preserve">Language Learning (Global Grocery Match)</w:t>
            </w:r>
          </w:p>
        </w:tc>
        <w:tc>
          <w:tcPr>
            <w:tcW w:type="dxa" w:w="3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i/>
                <w:iCs/>
                <w:color w:val="5F5E5A"/>
                <w:sz w:val="20"/>
                <w:szCs w:val="20"/>
              </w:rPr>
              <w:t xml:space="preserve">Broca’s Area — language and communication</w:t>
            </w:r>
          </w:p>
        </w:tc>
      </w:tr>
      <w:tr>
        <w:tc>
          <w:tcPr>
            <w:tcW w:type="dxa" w:w="1440"/>
            <w:tcBorders>
              <w:top w:val="single" w:color="CCCCCC" w:sz="1"/>
              <w:left w:val="single" w:color="CCCCCC" w:sz="1"/>
              <w:bottom w:val="single" w:color="CCCCCC" w:sz="1"/>
              <w:right w:val="single" w:color="CCCCCC" w:sz="1"/>
            </w:tcBorders>
            <w:shd w:fill="FAF7F2" w:val="clear"/>
            <w:tcMar>
              <w:top w:type="dxa" w:w="60"/>
              <w:left w:type="dxa" w:w="120"/>
              <w:bottom w:type="dxa" w:w="60"/>
              <w:right w:type="dxa" w:w="120"/>
            </w:tcMar>
          </w:tcPr>
          <w:p>
            <w:r>
              <w:rPr>
                <w:rFonts w:ascii="Arial" w:cs="Arial" w:eastAsia="Arial" w:hAnsi="Arial"/>
                <w:b/>
                <w:bCs/>
                <w:color w:val="C49A2A"/>
                <w:sz w:val="20"/>
                <w:szCs w:val="20"/>
              </w:rPr>
              <w:t xml:space="preserve">27–29</w:t>
            </w:r>
          </w:p>
        </w:tc>
        <w:tc>
          <w:tcPr>
            <w:tcW w:type="dxa" w:w="3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C2C2A"/>
                <w:sz w:val="20"/>
                <w:szCs w:val="20"/>
              </w:rPr>
              <w:t xml:space="preserve">Species Intelligence (K9 / Feline / Equine)</w:t>
            </w:r>
          </w:p>
        </w:tc>
        <w:tc>
          <w:tcPr>
            <w:tcW w:type="dxa" w:w="3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i/>
                <w:iCs/>
                <w:color w:val="5F5E5A"/>
                <w:sz w:val="20"/>
                <w:szCs w:val="20"/>
              </w:rPr>
              <w:t xml:space="preserve">Peripheral Nervous System — extends to other beings</w:t>
            </w:r>
          </w:p>
        </w:tc>
      </w:tr>
      <w:tr>
        <w:tc>
          <w:tcPr>
            <w:tcW w:type="dxa" w:w="1440"/>
            <w:tcBorders>
              <w:top w:val="single" w:color="CCCCCC" w:sz="1"/>
              <w:left w:val="single" w:color="CCCCCC" w:sz="1"/>
              <w:bottom w:val="single" w:color="CCCCCC" w:sz="1"/>
              <w:right w:val="single" w:color="CCCCCC" w:sz="1"/>
            </w:tcBorders>
            <w:shd w:fill="FAF7F2" w:val="clear"/>
            <w:tcMar>
              <w:top w:type="dxa" w:w="60"/>
              <w:left w:type="dxa" w:w="120"/>
              <w:bottom w:type="dxa" w:w="60"/>
              <w:right w:type="dxa" w:w="120"/>
            </w:tcMar>
          </w:tcPr>
          <w:p>
            <w:r>
              <w:rPr>
                <w:rFonts w:ascii="Arial" w:cs="Arial" w:eastAsia="Arial" w:hAnsi="Arial"/>
                <w:b/>
                <w:bCs/>
                <w:color w:val="C49A2A"/>
                <w:sz w:val="20"/>
                <w:szCs w:val="20"/>
              </w:rPr>
              <w:t xml:space="preserve">33</w:t>
            </w:r>
          </w:p>
        </w:tc>
        <w:tc>
          <w:tcPr>
            <w:tcW w:type="dxa" w:w="3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C2C2A"/>
                <w:sz w:val="20"/>
                <w:szCs w:val="20"/>
              </w:rPr>
              <w:t xml:space="preserve">Commander Layer</w:t>
            </w:r>
          </w:p>
        </w:tc>
        <w:tc>
          <w:tcPr>
            <w:tcW w:type="dxa" w:w="3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i/>
                <w:iCs/>
                <w:color w:val="5F5E5A"/>
                <w:sz w:val="20"/>
                <w:szCs w:val="20"/>
              </w:rPr>
              <w:t xml:space="preserve">Executive Function — command hierarchy</w:t>
            </w:r>
          </w:p>
        </w:tc>
      </w:tr>
      <w:tr>
        <w:tc>
          <w:tcPr>
            <w:tcW w:type="dxa" w:w="1440"/>
            <w:tcBorders>
              <w:top w:val="single" w:color="CCCCCC" w:sz="1"/>
              <w:left w:val="single" w:color="CCCCCC" w:sz="1"/>
              <w:bottom w:val="single" w:color="CCCCCC" w:sz="1"/>
              <w:right w:val="single" w:color="CCCCCC" w:sz="1"/>
            </w:tcBorders>
            <w:shd w:fill="FAF7F2" w:val="clear"/>
            <w:tcMar>
              <w:top w:type="dxa" w:w="60"/>
              <w:left w:type="dxa" w:w="120"/>
              <w:bottom w:type="dxa" w:w="60"/>
              <w:right w:type="dxa" w:w="120"/>
            </w:tcMar>
          </w:tcPr>
          <w:p>
            <w:r>
              <w:rPr>
                <w:rFonts w:ascii="Arial" w:cs="Arial" w:eastAsia="Arial" w:hAnsi="Arial"/>
                <w:b/>
                <w:bCs/>
                <w:color w:val="C49A2A"/>
                <w:sz w:val="20"/>
                <w:szCs w:val="20"/>
              </w:rPr>
              <w:t xml:space="preserve">34</w:t>
            </w:r>
          </w:p>
        </w:tc>
        <w:tc>
          <w:tcPr>
            <w:tcW w:type="dxa" w:w="3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C2C2A"/>
                <w:sz w:val="20"/>
                <w:szCs w:val="20"/>
              </w:rPr>
              <w:t xml:space="preserve">Apothecary (The Equalizer)</w:t>
            </w:r>
          </w:p>
        </w:tc>
        <w:tc>
          <w:tcPr>
            <w:tcW w:type="dxa" w:w="3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i/>
                <w:iCs/>
                <w:color w:val="5F5E5A"/>
                <w:sz w:val="20"/>
                <w:szCs w:val="20"/>
              </w:rPr>
              <w:t xml:space="preserve">Ancient Immune Memory — botanical intelligence</w:t>
            </w:r>
          </w:p>
        </w:tc>
      </w:tr>
      <w:tr>
        <w:tc>
          <w:tcPr>
            <w:tcW w:type="dxa" w:w="1440"/>
            <w:tcBorders>
              <w:top w:val="single" w:color="CCCCCC" w:sz="1"/>
              <w:left w:val="single" w:color="CCCCCC" w:sz="1"/>
              <w:bottom w:val="single" w:color="CCCCCC" w:sz="1"/>
              <w:right w:val="single" w:color="CCCCCC" w:sz="1"/>
            </w:tcBorders>
            <w:shd w:fill="FAF7F2" w:val="clear"/>
            <w:tcMar>
              <w:top w:type="dxa" w:w="60"/>
              <w:left w:type="dxa" w:w="120"/>
              <w:bottom w:type="dxa" w:w="60"/>
              <w:right w:type="dxa" w:w="120"/>
            </w:tcMar>
          </w:tcPr>
          <w:p>
            <w:r>
              <w:rPr>
                <w:rFonts w:ascii="Arial" w:cs="Arial" w:eastAsia="Arial" w:hAnsi="Arial"/>
                <w:b/>
                <w:bCs/>
                <w:color w:val="C49A2A"/>
                <w:sz w:val="20"/>
                <w:szCs w:val="20"/>
              </w:rPr>
              <w:t xml:space="preserve">35</w:t>
            </w:r>
          </w:p>
        </w:tc>
        <w:tc>
          <w:tcPr>
            <w:tcW w:type="dxa" w:w="3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C2C2A"/>
                <w:sz w:val="20"/>
                <w:szCs w:val="20"/>
              </w:rPr>
              <w:t xml:space="preserve">Forager</w:t>
            </w:r>
          </w:p>
        </w:tc>
        <w:tc>
          <w:tcPr>
            <w:tcW w:type="dxa" w:w="3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i/>
                <w:iCs/>
                <w:color w:val="5F5E5A"/>
                <w:sz w:val="20"/>
                <w:szCs w:val="20"/>
              </w:rPr>
              <w:t xml:space="preserve">Survival Instinct — wild identification and sourcing</w:t>
            </w:r>
          </w:p>
        </w:tc>
      </w:tr>
    </w:tbl>
    <w:p>
      <w:pPr>
        <w:pBdr>
          <w:bottom w:val="single" w:color="C49A2A" w:sz="4" w:space="1"/>
        </w:pBdr>
        <w:spacing w:after="160" w:before="160"/>
      </w:pPr>
      <w:r>
        <w:t xml:space="preserve"/>
      </w:r>
    </w:p>
    <w:p>
      <w:r>
        <w:br w:type="page"/>
      </w:r>
    </w:p>
    <w:p>
      <w:pPr>
        <w:pStyle w:val="Heading1"/>
        <w:spacing w:after="160" w:before="320"/>
      </w:pPr>
      <w:r>
        <w:rPr>
          <w:rFonts w:ascii="Arial" w:cs="Arial" w:eastAsia="Arial" w:hAnsi="Arial"/>
          <w:b/>
          <w:bCs/>
          <w:color w:val="0A0804"/>
          <w:sz w:val="36"/>
          <w:szCs w:val="36"/>
        </w:rPr>
        <w:t xml:space="preserve">Section 4 · Dashboard Visual Doctrine (EQ Dashboard)</w:t>
      </w:r>
    </w:p>
    <w:p>
      <w:pPr>
        <w:spacing w:after="80" w:before="80"/>
      </w:pPr>
      <w:r>
        <w:rPr>
          <w:rFonts w:ascii="Arial" w:cs="Arial" w:eastAsia="Arial" w:hAnsi="Arial"/>
          <w:color w:val="2C2C2A"/>
          <w:sz w:val="22"/>
          <w:szCs w:val="22"/>
        </w:rPr>
        <w:t xml:space="preserve">The AA2 Dashboard (Spoke 4 Visualizer) is a real 10–15 band equalizer. Mr. Pitts is a sound and mixing engineer. This is not a metaphor — it is the literal visual architecture of the dashboard.</w:t>
      </w:r>
    </w:p>
    <w:p>
      <w:pPr>
        <w:spacing w:after="60" w:before="60"/>
      </w:pPr>
      <w:r>
        <w:t xml:space="preserve"/>
      </w:r>
    </w:p>
    <w:p>
      <w:pPr>
        <w:pStyle w:val="ListParagraph"/>
        <w:numPr>
          <w:ilvl w:val="0"/>
          <w:numId w:val="2"/>
        </w:numPr>
        <w:spacing w:after="40" w:before="40"/>
        <w:ind w:left="720" w:hanging="360"/>
      </w:pPr>
      <w:r>
        <w:rPr>
          <w:rFonts w:ascii="Arial" w:cs="Arial" w:eastAsia="Arial" w:hAnsi="Arial"/>
          <w:color w:val="2C2C2A"/>
          <w:sz w:val="22"/>
          <w:szCs w:val="22"/>
        </w:rPr>
        <w:t xml:space="preserve">Each band = a biosignal domain (HRV, sleep, stress, readiness, inflammation, mood, cognitive load, activity, nutrition, recovery)</w:t>
      </w:r>
    </w:p>
    <w:p>
      <w:pPr>
        <w:pStyle w:val="ListParagraph"/>
        <w:numPr>
          <w:ilvl w:val="0"/>
          <w:numId w:val="2"/>
        </w:numPr>
        <w:spacing w:after="40" w:before="40"/>
        <w:ind w:left="720" w:hanging="360"/>
      </w:pPr>
      <w:r>
        <w:rPr>
          <w:rFonts w:ascii="Arial" w:cs="Arial" w:eastAsia="Arial" w:hAnsi="Arial"/>
          <w:color w:val="2C2C2A"/>
          <w:sz w:val="22"/>
          <w:szCs w:val="22"/>
        </w:rPr>
        <w:t xml:space="preserve">Center line = personal baseline from onboarding — not a population average. YOUR center line.</w:t>
      </w:r>
    </w:p>
    <w:p>
      <w:pPr>
        <w:pStyle w:val="ListParagraph"/>
        <w:numPr>
          <w:ilvl w:val="0"/>
          <w:numId w:val="2"/>
        </w:numPr>
        <w:spacing w:after="40" w:before="40"/>
        <w:ind w:left="720" w:hanging="360"/>
      </w:pPr>
      <w:r>
        <w:rPr>
          <w:rFonts w:ascii="Arial" w:cs="Arial" w:eastAsia="Arial" w:hAnsi="Arial"/>
          <w:color w:val="2C2C2A"/>
          <w:sz w:val="22"/>
          <w:szCs w:val="22"/>
        </w:rPr>
        <w:t xml:space="preserve">Family dashboard = master bus. Each family member = a channel on the master bus.</w:t>
      </w:r>
    </w:p>
    <w:p>
      <w:pPr>
        <w:pStyle w:val="ListParagraph"/>
        <w:numPr>
          <w:ilvl w:val="0"/>
          <w:numId w:val="2"/>
        </w:numPr>
        <w:spacing w:after="40" w:before="40"/>
        <w:ind w:left="720" w:hanging="360"/>
      </w:pPr>
      <w:r>
        <w:rPr>
          <w:rFonts w:ascii="Arial" w:cs="Arial" w:eastAsia="Arial" w:hAnsi="Arial"/>
          <w:color w:val="2C2C2A"/>
          <w:sz w:val="22"/>
          <w:szCs w:val="22"/>
        </w:rPr>
        <w:t xml:space="preserve">Each individual member dashboard = a channel strip with its own EQ curve.</w:t>
      </w:r>
    </w:p>
    <w:p>
      <w:pPr>
        <w:pStyle w:val="ListParagraph"/>
        <w:numPr>
          <w:ilvl w:val="0"/>
          <w:numId w:val="2"/>
        </w:numPr>
        <w:spacing w:after="40" w:before="40"/>
        <w:ind w:left="720" w:hanging="360"/>
      </w:pPr>
      <w:r>
        <w:rPr>
          <w:rFonts w:ascii="Arial" w:cs="Arial" w:eastAsia="Arial" w:hAnsi="Arial"/>
          <w:color w:val="2C2C2A"/>
          <w:sz w:val="22"/>
          <w:szCs w:val="22"/>
        </w:rPr>
        <w:t xml:space="preserve">The Equalizer intelligence (Spoke 7) = the immune system reading against that center line.</w:t>
      </w:r>
    </w:p>
    <w:p>
      <w:pPr>
        <w:spacing w:after="60" w:before="60"/>
      </w:pPr>
      <w:r>
        <w:t xml:space="preserve"/>
      </w:r>
    </w:p>
    <w:p>
      <w:pPr>
        <w:spacing w:after="80" w:before="80"/>
      </w:pPr>
      <w:r>
        <w:rPr>
          <w:rFonts w:ascii="Arial" w:cs="Arial" w:eastAsia="Arial" w:hAnsi="Arial"/>
          <w:color w:val="2C2C2A"/>
          <w:sz w:val="22"/>
          <w:szCs w:val="22"/>
        </w:rPr>
        <w:t xml:space="preserve">This doctrine must appear in every Canon, white paper, patent filing, and counsel briefing. Any document missing the EQ Dashboard doctrine is incomplete.</w:t>
      </w:r>
    </w:p>
    <w:p>
      <w:pPr>
        <w:pBdr>
          <w:bottom w:val="single" w:color="C49A2A" w:sz="4" w:space="1"/>
        </w:pBdr>
        <w:spacing w:after="160" w:before="160"/>
      </w:pPr>
      <w:r>
        <w:t xml:space="preserve"/>
      </w:r>
    </w:p>
    <w:p>
      <w:pPr>
        <w:pStyle w:val="Heading1"/>
        <w:spacing w:after="160" w:before="320"/>
      </w:pPr>
      <w:r>
        <w:rPr>
          <w:rFonts w:ascii="Arial" w:cs="Arial" w:eastAsia="Arial" w:hAnsi="Arial"/>
          <w:b/>
          <w:bCs/>
          <w:color w:val="0A0804"/>
          <w:sz w:val="36"/>
          <w:szCs w:val="36"/>
        </w:rPr>
        <w:t xml:space="preserve">Section 5 · Apothecary — Spoke 34 (The Equalizer’s Ancient Intelligence Layer)</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AF7F2" w:val="clear"/>
            <w:tcMar>
              <w:top w:type="dxa" w:w="120"/>
              <w:left w:type="dxa" w:w="180"/>
              <w:bottom w:type="dxa" w:w="120"/>
              <w:right w:type="dxa" w:w="180"/>
            </w:tcMar>
          </w:tcPr>
          <w:p>
            <w:pPr>
              <w:spacing w:after="80" w:before="40"/>
            </w:pPr>
            <w:r>
              <w:rPr>
                <w:rFonts w:ascii="Arial" w:cs="Arial" w:eastAsia="Arial" w:hAnsi="Arial"/>
                <w:b/>
                <w:bCs/>
                <w:color w:val="C49A2A"/>
                <w:sz w:val="20"/>
                <w:szCs w:val="20"/>
              </w:rPr>
              <w:t xml:space="preserve">Apothecary Doctrine — Sealed</w:t>
            </w:r>
          </w:p>
          <w:p>
            <w:pPr>
              <w:spacing w:after="40" w:before="0"/>
            </w:pPr>
            <w:r>
              <w:rPr>
                <w:rFonts w:ascii="Arial" w:cs="Arial" w:eastAsia="Arial" w:hAnsi="Arial"/>
                <w:color w:val="2C2C2A"/>
                <w:sz w:val="20"/>
                <w:szCs w:val="20"/>
              </w:rPr>
              <w:t xml:space="preserve">The Apothecary is not a supplement directory. It is the membrane’s botanical intelligence layer — the ancient immune memory of the system. It reads plants, herbs, and natural compounds against your species profile, conditions, medications, and biosignal baseline simultaneously.</w:t>
            </w:r>
          </w:p>
        </w:tc>
      </w:tr>
    </w:tbl>
    <w:p>
      <w:pPr>
        <w:spacing w:after="60" w:before="60"/>
      </w:pPr>
      <w:r>
        <w:t xml:space="preserve"/>
      </w:r>
    </w:p>
    <w:p>
      <w:pPr>
        <w:pStyle w:val="Heading2"/>
        <w:spacing w:after="120" w:before="240"/>
      </w:pPr>
      <w:r>
        <w:rPr>
          <w:rFonts w:ascii="Arial" w:cs="Arial" w:eastAsia="Arial" w:hAnsi="Arial"/>
          <w:b/>
          <w:bCs/>
          <w:color w:val="0A0804"/>
          <w:sz w:val="28"/>
          <w:szCs w:val="28"/>
        </w:rPr>
        <w:t xml:space="preserve">5.1 · Intelligence Owner</w:t>
      </w:r>
    </w:p>
    <w:p>
      <w:pPr>
        <w:spacing w:after="80" w:before="80"/>
      </w:pPr>
      <w:r>
        <w:rPr>
          <w:rFonts w:ascii="Arial" w:cs="Arial" w:eastAsia="Arial" w:hAnsi="Arial"/>
          <w:color w:val="2C2C2A"/>
          <w:sz w:val="22"/>
          <w:szCs w:val="22"/>
        </w:rPr>
        <w:t xml:space="preserve">The Equalizer owns the Apothecary layer. The same intelligence that reads your immune threat signals reads botanical compounds against your body’s current state. The Equalizer is the immune system of the membrane. Apothecary is its ancient memory.</w:t>
      </w:r>
    </w:p>
    <w:p>
      <w:pPr>
        <w:spacing w:after="60" w:before="60"/>
      </w:pPr>
      <w:r>
        <w:t xml:space="preserve"/>
      </w:r>
    </w:p>
    <w:p>
      <w:pPr>
        <w:pStyle w:val="Heading2"/>
        <w:spacing w:after="120" w:before="240"/>
      </w:pPr>
      <w:r>
        <w:rPr>
          <w:rFonts w:ascii="Arial" w:cs="Arial" w:eastAsia="Arial" w:hAnsi="Arial"/>
          <w:b/>
          <w:bCs/>
          <w:color w:val="0A0804"/>
          <w:sz w:val="28"/>
          <w:szCs w:val="28"/>
        </w:rPr>
        <w:t xml:space="preserve">5.2 · Three Placements (All Three Are Permanent)</w:t>
      </w:r>
    </w:p>
    <w:p>
      <w:pPr>
        <w:spacing w:after="60" w:before="60"/>
      </w:pPr>
      <w:r>
        <w:t xml:space="preserve"/>
      </w:r>
    </w:p>
    <w:p>
      <w:pPr>
        <w:pStyle w:val="Heading3"/>
        <w:spacing w:after="80" w:before="180"/>
      </w:pPr>
      <w:r>
        <w:rPr>
          <w:rFonts w:ascii="Arial" w:cs="Arial" w:eastAsia="Arial" w:hAnsi="Arial"/>
          <w:b/>
          <w:bCs/>
          <w:color w:val="444441"/>
          <w:sz w:val="24"/>
          <w:szCs w:val="24"/>
        </w:rPr>
        <w:t xml:space="preserve">Placement 1 — Standalone Scanner Tab</w:t>
      </w:r>
    </w:p>
    <w:p>
      <w:pPr>
        <w:spacing w:after="80" w:before="80"/>
      </w:pPr>
      <w:r>
        <w:rPr>
          <w:rFonts w:ascii="Arial" w:cs="Arial" w:eastAsia="Arial" w:hAnsi="Arial"/>
          <w:color w:val="2C2C2A"/>
          <w:sz w:val="22"/>
          <w:szCs w:val="22"/>
        </w:rPr>
        <w:t xml:space="preserve">Appears in the S.C.A.N. tab row alongside Scan, Produce, Meat, Personal Care, Grown Folks, Species, and Forager. Scan any plant, herb, supplement label, or packaged botanical product. Returns plant identity, species suitability, use context, preparation type, caution layer, and membrane interpretation.</w:t>
      </w:r>
    </w:p>
    <w:p>
      <w:pPr>
        <w:spacing w:after="60" w:before="60"/>
      </w:pPr>
      <w:r>
        <w:t xml:space="preserve"/>
      </w:r>
    </w:p>
    <w:p>
      <w:pPr>
        <w:pStyle w:val="Heading3"/>
        <w:spacing w:after="80" w:before="180"/>
      </w:pPr>
      <w:r>
        <w:rPr>
          <w:rFonts w:ascii="Arial" w:cs="Arial" w:eastAsia="Arial" w:hAnsi="Arial"/>
          <w:b/>
          <w:bCs/>
          <w:color w:val="444441"/>
          <w:sz w:val="24"/>
          <w:szCs w:val="24"/>
        </w:rPr>
        <w:t xml:space="preserve">Placement 2 — Inside Chef Recipes (Inner Tab)</w:t>
      </w:r>
    </w:p>
    <w:p>
      <w:pPr>
        <w:spacing w:after="80" w:before="80"/>
      </w:pPr>
      <w:r>
        <w:rPr>
          <w:rFonts w:ascii="Arial" w:cs="Arial" w:eastAsia="Arial" w:hAnsi="Arial"/>
          <w:color w:val="2C2C2A"/>
          <w:sz w:val="22"/>
          <w:szCs w:val="22"/>
        </w:rPr>
        <w:t xml:space="preserve">Every Chef recipe has three inner tabs: Ingredients, Method, Apothecary. The Apothecary tab shows which ingredients have a wild or whole-source substitute. Mass-produced powder is flagged against the wild root equivalent. The Chef and The Equalizer collaborate on this layer — the Chef provides the recipe, the Equalizer provides the botanical intelligence.</w:t>
      </w:r>
    </w:p>
    <w:p>
      <w:pPr>
        <w:spacing w:after="60" w:before="60"/>
      </w:pPr>
      <w:r>
        <w:t xml:space="preserve"/>
      </w:r>
    </w:p>
    <w:p>
      <w:pPr>
        <w:spacing w:after="80" w:before="80"/>
      </w:pPr>
      <w:r>
        <w:rPr>
          <w:rFonts w:ascii="Arial" w:cs="Arial" w:eastAsia="Arial" w:hAnsi="Arial"/>
          <w:color w:val="2C2C2A"/>
          <w:sz w:val="22"/>
          <w:szCs w:val="22"/>
        </w:rPr>
        <w:t xml:space="preserve">Example: Anti-inflammatory broth calls for turmeric. The Apothecary tab shows wild Curcuma longa root or Forager-identified local source as a substitute for mass-produced grocery shelf turmeric powder. Higher curcumin concentration. Zero processing compromise.</w:t>
      </w:r>
    </w:p>
    <w:p>
      <w:pPr>
        <w:spacing w:after="60" w:before="60"/>
      </w:pPr>
      <w:r>
        <w:t xml:space="preserve"/>
      </w:r>
    </w:p>
    <w:p>
      <w:pPr>
        <w:pStyle w:val="Heading3"/>
        <w:spacing w:after="80" w:before="180"/>
      </w:pPr>
      <w:r>
        <w:rPr>
          <w:rFonts w:ascii="Arial" w:cs="Arial" w:eastAsia="Arial" w:hAnsi="Arial"/>
          <w:b/>
          <w:bCs/>
          <w:color w:val="444441"/>
          <w:sz w:val="24"/>
          <w:szCs w:val="24"/>
        </w:rPr>
        <w:t xml:space="preserve">Placement 3 — ON GRID / OFF GRID Map (Chauffeur)</w:t>
      </w:r>
    </w:p>
    <w:p>
      <w:pPr>
        <w:spacing w:after="80" w:before="80"/>
      </w:pPr>
      <w:r>
        <w:rPr>
          <w:rFonts w:ascii="Arial" w:cs="Arial" w:eastAsia="Arial" w:hAnsi="Arial"/>
          <w:color w:val="2C2C2A"/>
          <w:sz w:val="22"/>
          <w:szCs w:val="22"/>
        </w:rPr>
        <w:t xml:space="preserve">The Chauffeur map shows wild herb and plant locations as green pins near the member’s current location. Gold pins indicate trusted co-op or clean-source vendors. Red pins indicate danger zones — toxic plant clusters, nightshade areas, flagged locations.</w:t>
      </w:r>
    </w:p>
    <w:p>
      <w:pPr>
        <w:spacing w:after="60" w:before="60"/>
      </w:pPr>
      <w:r>
        <w:t xml:space="preserve"/>
      </w:r>
    </w:p>
    <w:p>
      <w:pPr>
        <w:spacing w:after="80" w:before="80"/>
      </w:pPr>
      <w:r>
        <w:rPr>
          <w:rFonts w:ascii="Arial" w:cs="Arial" w:eastAsia="Arial" w:hAnsi="Arial"/>
          <w:color w:val="2C2C2A"/>
          <w:sz w:val="22"/>
          <w:szCs w:val="22"/>
        </w:rPr>
        <w:t xml:space="preserve">When a member has a recipe open, the map cross-references each ingredient against local wild sources and shows which are within walking or driving distance. Mass-produced alternatives are automatically flagged. The member sees: free and forageable, buy from clean source, or avoid.</w:t>
      </w:r>
    </w:p>
    <w:p>
      <w:pPr>
        <w:spacing w:after="60" w:before="60"/>
      </w:pPr>
      <w:r>
        <w:t xml:space="preserve"/>
      </w:r>
    </w:p>
    <w:p>
      <w:pPr>
        <w:pStyle w:val="Heading2"/>
        <w:spacing w:after="120" w:before="240"/>
      </w:pPr>
      <w:r>
        <w:rPr>
          <w:rFonts w:ascii="Arial" w:cs="Arial" w:eastAsia="Arial" w:hAnsi="Arial"/>
          <w:b/>
          <w:bCs/>
          <w:color w:val="0A0804"/>
          <w:sz w:val="28"/>
          <w:szCs w:val="28"/>
        </w:rPr>
        <w:t xml:space="preserve">5.3 · Data Stack (Spoke 34)</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b/>
                <w:bCs/>
                <w:color w:val="C49A2A"/>
                <w:sz w:val="20"/>
                <w:szCs w:val="20"/>
              </w:rPr>
              <w:t xml:space="preserve">Layer</w:t>
            </w:r>
          </w:p>
        </w:tc>
        <w:tc>
          <w:tcPr>
            <w:tcW w:type="dxa" w:w="312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b/>
                <w:bCs/>
                <w:color w:val="C49A2A"/>
                <w:sz w:val="20"/>
                <w:szCs w:val="20"/>
              </w:rPr>
              <w:t xml:space="preserve">Sources</w:t>
            </w:r>
          </w:p>
        </w:tc>
        <w:tc>
          <w:tcPr>
            <w:tcW w:type="dxa" w:w="312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b/>
                <w:bCs/>
                <w:color w:val="C49A2A"/>
                <w:sz w:val="20"/>
                <w:szCs w:val="20"/>
              </w:rPr>
              <w:t xml:space="preserve">Purpose</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color w:val="2C2C2A"/>
                <w:sz w:val="20"/>
                <w:szCs w:val="20"/>
              </w:rPr>
              <w:t xml:space="preserve">Plant Identity</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i/>
                <w:iCs/>
                <w:color w:val="5F5E5A"/>
                <w:sz w:val="20"/>
                <w:szCs w:val="20"/>
              </w:rPr>
              <w:t xml:space="preserve">Kew POWO + USDA PLANTS</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C2C2A"/>
                <w:sz w:val="20"/>
                <w:szCs w:val="20"/>
              </w:rPr>
              <w:t xml:space="preserve">Common names, scientific names, synonyms, taxonomy, regional naming</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color w:val="2C2C2A"/>
                <w:sz w:val="20"/>
                <w:szCs w:val="20"/>
              </w:rPr>
              <w:t xml:space="preserve">Safety + Cautions</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i/>
                <w:iCs/>
                <w:color w:val="5F5E5A"/>
                <w:sz w:val="20"/>
                <w:szCs w:val="20"/>
              </w:rPr>
              <w:t xml:space="preserve">NCCIH + MedlinePlus</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C2C2A"/>
                <w:sz w:val="20"/>
                <w:szCs w:val="20"/>
              </w:rPr>
              <w:t xml:space="preserve">Human-readable summaries, use context, dosage framing, interaction flags</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color w:val="2C2C2A"/>
                <w:sz w:val="20"/>
                <w:szCs w:val="20"/>
              </w:rPr>
              <w:t xml:space="preserve">Photos</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i/>
                <w:iCs/>
                <w:color w:val="5F5E5A"/>
                <w:sz w:val="20"/>
                <w:szCs w:val="20"/>
              </w:rPr>
              <w:t xml:space="preserve">GBIF image API + USDA PLANTS</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C2C2A"/>
                <w:sz w:val="20"/>
                <w:szCs w:val="20"/>
              </w:rPr>
              <w:t xml:space="preserve">Visual identification images with license metadata and attribution</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color w:val="2C2C2A"/>
                <w:sz w:val="20"/>
                <w:szCs w:val="20"/>
              </w:rPr>
              <w:t xml:space="preserve">Risk Overlay</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i/>
                <w:iCs/>
                <w:color w:val="5F5E5A"/>
                <w:sz w:val="20"/>
                <w:szCs w:val="20"/>
              </w:rPr>
              <w:t xml:space="preserve">openFDA + ASPCA DB#8</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C2C2A"/>
                <w:sz w:val="20"/>
                <w:szCs w:val="20"/>
              </w:rPr>
              <w:t xml:space="preserve">Adverse event data, supplement enforcement actions, animal toxicity</w:t>
            </w:r>
          </w:p>
        </w:tc>
      </w:tr>
    </w:tbl>
    <w:p>
      <w:pPr>
        <w:spacing w:after="60" w:before="60"/>
      </w:pPr>
      <w:r>
        <w:t xml:space="preserve"/>
      </w:r>
    </w:p>
    <w:p>
      <w:pPr>
        <w:pStyle w:val="Heading2"/>
        <w:spacing w:after="120" w:before="240"/>
      </w:pPr>
      <w:r>
        <w:rPr>
          <w:rFonts w:ascii="Arial" w:cs="Arial" w:eastAsia="Arial" w:hAnsi="Arial"/>
          <w:b/>
          <w:bCs/>
          <w:color w:val="0A0804"/>
          <w:sz w:val="28"/>
          <w:szCs w:val="28"/>
        </w:rPr>
        <w:t xml:space="preserve">5.4 · Species Suitability Flags (Every Apothecary Record)</w:t>
      </w:r>
    </w:p>
    <w:p>
      <w:pPr>
        <w:pStyle w:val="ListParagraph"/>
        <w:numPr>
          <w:ilvl w:val="0"/>
          <w:numId w:val="2"/>
        </w:numPr>
        <w:spacing w:after="40" w:before="40"/>
        <w:ind w:left="720" w:hanging="360"/>
      </w:pPr>
      <w:r>
        <w:rPr>
          <w:rFonts w:ascii="Arial" w:cs="Arial" w:eastAsia="Arial" w:hAnsi="Arial"/>
          <w:color w:val="2C2C2A"/>
          <w:sz w:val="22"/>
          <w:szCs w:val="22"/>
        </w:rPr>
        <w:t xml:space="preserve">Human — standard adult dosing and caution context</w:t>
      </w:r>
    </w:p>
    <w:p>
      <w:pPr>
        <w:pStyle w:val="ListParagraph"/>
        <w:numPr>
          <w:ilvl w:val="0"/>
          <w:numId w:val="2"/>
        </w:numPr>
        <w:spacing w:after="40" w:before="40"/>
        <w:ind w:left="720" w:hanging="360"/>
      </w:pPr>
      <w:r>
        <w:rPr>
          <w:rFonts w:ascii="Arial" w:cs="Arial" w:eastAsia="Arial" w:hAnsi="Arial"/>
          <w:color w:val="2C2C2A"/>
          <w:sz w:val="22"/>
          <w:szCs w:val="22"/>
        </w:rPr>
        <w:t xml:space="preserve">K9 (Canine) — ASPCA DB#8, toxic/non-toxic, dosing context for weight</w:t>
      </w:r>
    </w:p>
    <w:p>
      <w:pPr>
        <w:pStyle w:val="ListParagraph"/>
        <w:numPr>
          <w:ilvl w:val="0"/>
          <w:numId w:val="2"/>
        </w:numPr>
        <w:spacing w:after="40" w:before="40"/>
        <w:ind w:left="720" w:hanging="360"/>
      </w:pPr>
      <w:r>
        <w:rPr>
          <w:rFonts w:ascii="Arial" w:cs="Arial" w:eastAsia="Arial" w:hAnsi="Arial"/>
          <w:color w:val="2C2C2A"/>
          <w:sz w:val="22"/>
          <w:szCs w:val="22"/>
        </w:rPr>
        <w:t xml:space="preserve">Feline — ASPCA DB#8, cats are MORE toxicologically sensitive than dogs</w:t>
      </w:r>
    </w:p>
    <w:p>
      <w:pPr>
        <w:pStyle w:val="ListParagraph"/>
        <w:numPr>
          <w:ilvl w:val="0"/>
          <w:numId w:val="2"/>
        </w:numPr>
        <w:spacing w:after="40" w:before="40"/>
        <w:ind w:left="720" w:hanging="360"/>
      </w:pPr>
      <w:r>
        <w:rPr>
          <w:rFonts w:ascii="Arial" w:cs="Arial" w:eastAsia="Arial" w:hAnsi="Arial"/>
          <w:color w:val="2C2C2A"/>
          <w:sz w:val="22"/>
          <w:szCs w:val="22"/>
        </w:rPr>
        <w:t xml:space="preserve">Equestrian — equine-specific metabolism and compound tolerance</w:t>
      </w:r>
    </w:p>
    <w:p>
      <w:pPr>
        <w:pStyle w:val="ListParagraph"/>
        <w:numPr>
          <w:ilvl w:val="0"/>
          <w:numId w:val="2"/>
        </w:numPr>
        <w:spacing w:after="40" w:before="40"/>
        <w:ind w:left="720" w:hanging="360"/>
      </w:pPr>
      <w:r>
        <w:rPr>
          <w:rFonts w:ascii="Arial" w:cs="Arial" w:eastAsia="Arial" w:hAnsi="Arial"/>
          <w:color w:val="2C2C2A"/>
          <w:sz w:val="22"/>
          <w:szCs w:val="22"/>
        </w:rPr>
        <w:t xml:space="preserve">Cattle — agricultural context and herd-level consideration</w:t>
      </w:r>
    </w:p>
    <w:p>
      <w:pPr>
        <w:pStyle w:val="ListParagraph"/>
        <w:numPr>
          <w:ilvl w:val="0"/>
          <w:numId w:val="2"/>
        </w:numPr>
        <w:spacing w:after="40" w:before="40"/>
        <w:ind w:left="720" w:hanging="360"/>
      </w:pPr>
      <w:r>
        <w:rPr>
          <w:rFonts w:ascii="Arial" w:cs="Arial" w:eastAsia="Arial" w:hAnsi="Arial"/>
          <w:color w:val="2C2C2A"/>
          <w:sz w:val="22"/>
          <w:szCs w:val="22"/>
        </w:rPr>
        <w:t xml:space="preserve">Expecting mothers — flagged for compounds contraindicated in pregnancy</w:t>
      </w:r>
    </w:p>
    <w:p>
      <w:pPr>
        <w:pBdr>
          <w:bottom w:val="single" w:color="C49A2A" w:sz="4" w:space="1"/>
        </w:pBdr>
        <w:spacing w:after="160" w:before="160"/>
      </w:pPr>
      <w:r>
        <w:t xml:space="preserve"/>
      </w:r>
    </w:p>
    <w:p>
      <w:r>
        <w:br w:type="page"/>
      </w:r>
    </w:p>
    <w:p>
      <w:pPr>
        <w:pStyle w:val="Heading1"/>
        <w:spacing w:after="160" w:before="320"/>
      </w:pPr>
      <w:r>
        <w:rPr>
          <w:rFonts w:ascii="Arial" w:cs="Arial" w:eastAsia="Arial" w:hAnsi="Arial"/>
          <w:b/>
          <w:bCs/>
          <w:color w:val="0A0804"/>
          <w:sz w:val="36"/>
          <w:szCs w:val="36"/>
        </w:rPr>
        <w:t xml:space="preserve">Section 6 · Forager — Spoke 35 (Wild Plant Intelligence)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AF7F2" w:val="clear"/>
            <w:tcMar>
              <w:top w:type="dxa" w:w="120"/>
              <w:left w:type="dxa" w:w="180"/>
              <w:bottom w:type="dxa" w:w="120"/>
              <w:right w:type="dxa" w:w="180"/>
            </w:tcMar>
          </w:tcPr>
          <w:p>
            <w:pPr>
              <w:spacing w:after="80" w:before="40"/>
            </w:pPr>
            <w:r>
              <w:rPr>
                <w:rFonts w:ascii="Arial" w:cs="Arial" w:eastAsia="Arial" w:hAnsi="Arial"/>
                <w:b/>
                <w:bCs/>
                <w:color w:val="C49A2A"/>
                <w:sz w:val="20"/>
                <w:szCs w:val="20"/>
              </w:rPr>
              <w:t xml:space="preserve">Forager Doctrine — Sealed</w:t>
            </w:r>
          </w:p>
          <w:p>
            <w:pPr>
              <w:spacing w:after="40" w:before="0"/>
            </w:pPr>
            <w:r>
              <w:rPr>
                <w:rFonts w:ascii="Arial" w:cs="Arial" w:eastAsia="Arial" w:hAnsi="Arial"/>
                <w:color w:val="2C2C2A"/>
                <w:sz w:val="20"/>
                <w:szCs w:val="20"/>
              </w:rPr>
              <w:t xml:space="preserve">The Forager tab is a separate scanner specifically designed for identifying plants, mushrooms, berries, and wild botanicals in nature. It answers one question: is this thing in front of me safe to pick, eat, prepare, or feed to an animal — right now, in this region, in this season?</w:t>
            </w:r>
          </w:p>
        </w:tc>
      </w:tr>
    </w:tbl>
    <w:p>
      <w:pPr>
        <w:spacing w:after="60" w:before="60"/>
      </w:pPr>
      <w:r>
        <w:t xml:space="preserve"/>
      </w:r>
    </w:p>
    <w:p>
      <w:pPr>
        <w:pStyle w:val="Heading2"/>
        <w:spacing w:after="120" w:before="240"/>
      </w:pPr>
      <w:r>
        <w:rPr>
          <w:rFonts w:ascii="Arial" w:cs="Arial" w:eastAsia="Arial" w:hAnsi="Arial"/>
          <w:b/>
          <w:bCs/>
          <w:color w:val="0A0804"/>
          <w:sz w:val="28"/>
          <w:szCs w:val="28"/>
        </w:rPr>
        <w:t xml:space="preserve">6.1 · What Forager Scans</w:t>
      </w:r>
    </w:p>
    <w:p>
      <w:pPr>
        <w:pStyle w:val="ListParagraph"/>
        <w:numPr>
          <w:ilvl w:val="0"/>
          <w:numId w:val="2"/>
        </w:numPr>
        <w:spacing w:after="40" w:before="40"/>
        <w:ind w:left="720" w:hanging="360"/>
      </w:pPr>
      <w:r>
        <w:rPr>
          <w:rFonts w:ascii="Arial" w:cs="Arial" w:eastAsia="Arial" w:hAnsi="Arial"/>
          <w:color w:val="2C2C2A"/>
          <w:sz w:val="22"/>
          <w:szCs w:val="22"/>
        </w:rPr>
        <w:t xml:space="preserve">Wild mushrooms — edible/toxic, lookalike risk, season, region, preparation method</w:t>
      </w:r>
    </w:p>
    <w:p>
      <w:pPr>
        <w:pStyle w:val="ListParagraph"/>
        <w:numPr>
          <w:ilvl w:val="0"/>
          <w:numId w:val="2"/>
        </w:numPr>
        <w:spacing w:after="40" w:before="40"/>
        <w:ind w:left="720" w:hanging="360"/>
      </w:pPr>
      <w:r>
        <w:rPr>
          <w:rFonts w:ascii="Arial" w:cs="Arial" w:eastAsia="Arial" w:hAnsi="Arial"/>
          <w:color w:val="2C2C2A"/>
          <w:sz w:val="22"/>
          <w:szCs w:val="22"/>
        </w:rPr>
        <w:t xml:space="preserve">Wild berries — edibility, toxicity to humans and animals, preparation</w:t>
      </w:r>
    </w:p>
    <w:p>
      <w:pPr>
        <w:pStyle w:val="ListParagraph"/>
        <w:numPr>
          <w:ilvl w:val="0"/>
          <w:numId w:val="2"/>
        </w:numPr>
        <w:spacing w:after="40" w:before="40"/>
        <w:ind w:left="720" w:hanging="360"/>
      </w:pPr>
      <w:r>
        <w:rPr>
          <w:rFonts w:ascii="Arial" w:cs="Arial" w:eastAsia="Arial" w:hAnsi="Arial"/>
          <w:color w:val="2C2C2A"/>
          <w:sz w:val="22"/>
          <w:szCs w:val="22"/>
        </w:rPr>
        <w:t xml:space="preserve">Wild herbs and plants — identity, traditional use, caution layer</w:t>
      </w:r>
    </w:p>
    <w:p>
      <w:pPr>
        <w:pStyle w:val="ListParagraph"/>
        <w:numPr>
          <w:ilvl w:val="0"/>
          <w:numId w:val="2"/>
        </w:numPr>
        <w:spacing w:after="40" w:before="40"/>
        <w:ind w:left="720" w:hanging="360"/>
      </w:pPr>
      <w:r>
        <w:rPr>
          <w:rFonts w:ascii="Arial" w:cs="Arial" w:eastAsia="Arial" w:hAnsi="Arial"/>
          <w:color w:val="2C2C2A"/>
          <w:sz w:val="22"/>
          <w:szCs w:val="22"/>
        </w:rPr>
        <w:t xml:space="preserve">Leaves, bark, roots — botanical identification with safety classification</w:t>
      </w:r>
    </w:p>
    <w:p>
      <w:pPr>
        <w:spacing w:after="60" w:before="60"/>
      </w:pPr>
      <w:r>
        <w:t xml:space="preserve"/>
      </w:r>
    </w:p>
    <w:p>
      <w:pPr>
        <w:pStyle w:val="Heading2"/>
        <w:spacing w:after="120" w:before="240"/>
      </w:pPr>
      <w:r>
        <w:rPr>
          <w:rFonts w:ascii="Arial" w:cs="Arial" w:eastAsia="Arial" w:hAnsi="Arial"/>
          <w:b/>
          <w:bCs/>
          <w:color w:val="0A0804"/>
          <w:sz w:val="28"/>
          <w:szCs w:val="28"/>
        </w:rPr>
        <w:t xml:space="preserve">6.2 · What Forager Returns</w:t>
      </w:r>
    </w:p>
    <w:p>
      <w:pPr>
        <w:pStyle w:val="ListParagraph"/>
        <w:numPr>
          <w:ilvl w:val="0"/>
          <w:numId w:val="2"/>
        </w:numPr>
        <w:spacing w:after="40" w:before="40"/>
        <w:ind w:left="720" w:hanging="360"/>
      </w:pPr>
      <w:r>
        <w:rPr>
          <w:rFonts w:ascii="Arial" w:cs="Arial" w:eastAsia="Arial" w:hAnsi="Arial"/>
          <w:color w:val="2C2C2A"/>
          <w:sz w:val="22"/>
          <w:szCs w:val="22"/>
        </w:rPr>
        <w:t xml:space="preserve">Plant identity: common name, scientific name, plant family</w:t>
      </w:r>
    </w:p>
    <w:p>
      <w:pPr>
        <w:pStyle w:val="ListParagraph"/>
        <w:numPr>
          <w:ilvl w:val="0"/>
          <w:numId w:val="2"/>
        </w:numPr>
        <w:spacing w:after="40" w:before="40"/>
        <w:ind w:left="720" w:hanging="360"/>
      </w:pPr>
      <w:r>
        <w:rPr>
          <w:rFonts w:ascii="Arial" w:cs="Arial" w:eastAsia="Arial" w:hAnsi="Arial"/>
          <w:color w:val="2C2C2A"/>
          <w:sz w:val="22"/>
          <w:szCs w:val="22"/>
        </w:rPr>
        <w:t xml:space="preserve">Edibility classification: Edible / Edible with preparation / Toxic / Fatal</w:t>
      </w:r>
    </w:p>
    <w:p>
      <w:pPr>
        <w:pStyle w:val="ListParagraph"/>
        <w:numPr>
          <w:ilvl w:val="0"/>
          <w:numId w:val="2"/>
        </w:numPr>
        <w:spacing w:after="40" w:before="40"/>
        <w:ind w:left="720" w:hanging="360"/>
      </w:pPr>
      <w:r>
        <w:rPr>
          <w:rFonts w:ascii="Arial" w:cs="Arial" w:eastAsia="Arial" w:hAnsi="Arial"/>
          <w:color w:val="2C2C2A"/>
          <w:sz w:val="22"/>
          <w:szCs w:val="22"/>
        </w:rPr>
        <w:t xml:space="preserve">Season and regional availability confirmation</w:t>
      </w:r>
    </w:p>
    <w:p>
      <w:pPr>
        <w:pStyle w:val="ListParagraph"/>
        <w:numPr>
          <w:ilvl w:val="0"/>
          <w:numId w:val="2"/>
        </w:numPr>
        <w:spacing w:after="40" w:before="40"/>
        <w:ind w:left="720" w:hanging="360"/>
      </w:pPr>
      <w:r>
        <w:rPr>
          <w:rFonts w:ascii="Arial" w:cs="Arial" w:eastAsia="Arial" w:hAnsi="Arial"/>
          <w:color w:val="2C2C2A"/>
          <w:sz w:val="22"/>
          <w:szCs w:val="22"/>
        </w:rPr>
        <w:t xml:space="preserve">Lookalike risk rating and distinguishing features</w:t>
      </w:r>
    </w:p>
    <w:p>
      <w:pPr>
        <w:pStyle w:val="ListParagraph"/>
        <w:numPr>
          <w:ilvl w:val="0"/>
          <w:numId w:val="2"/>
        </w:numPr>
        <w:spacing w:after="40" w:before="40"/>
        <w:ind w:left="720" w:hanging="360"/>
      </w:pPr>
      <w:r>
        <w:rPr>
          <w:rFonts w:ascii="Arial" w:cs="Arial" w:eastAsia="Arial" w:hAnsi="Arial"/>
          <w:color w:val="2C2C2A"/>
          <w:sz w:val="22"/>
          <w:szCs w:val="22"/>
        </w:rPr>
        <w:t xml:space="preserve">Preparation method: raw, cooked, dried, tinctured</w:t>
      </w:r>
    </w:p>
    <w:p>
      <w:pPr>
        <w:pStyle w:val="ListParagraph"/>
        <w:numPr>
          <w:ilvl w:val="0"/>
          <w:numId w:val="2"/>
        </w:numPr>
        <w:spacing w:after="40" w:before="40"/>
        <w:ind w:left="720" w:hanging="360"/>
      </w:pPr>
      <w:r>
        <w:rPr>
          <w:rFonts w:ascii="Arial" w:cs="Arial" w:eastAsia="Arial" w:hAnsi="Arial"/>
          <w:color w:val="2C2C2A"/>
          <w:sz w:val="22"/>
          <w:szCs w:val="22"/>
        </w:rPr>
        <w:t xml:space="preserve">K9, feline, equine, cattle suitability flags on every result</w:t>
      </w:r>
    </w:p>
    <w:p>
      <w:pPr>
        <w:pStyle w:val="ListParagraph"/>
        <w:numPr>
          <w:ilvl w:val="0"/>
          <w:numId w:val="2"/>
        </w:numPr>
        <w:spacing w:after="40" w:before="40"/>
        <w:ind w:left="720" w:hanging="360"/>
      </w:pPr>
      <w:r>
        <w:rPr>
          <w:rFonts w:ascii="Arial" w:cs="Arial" w:eastAsia="Arial" w:hAnsi="Arial"/>
          <w:color w:val="2C2C2A"/>
          <w:sz w:val="22"/>
          <w:szCs w:val="22"/>
        </w:rPr>
        <w:t xml:space="preserve">Membrane interpretation: does this align with your current goals and health profile</w:t>
      </w:r>
    </w:p>
    <w:p>
      <w:pPr>
        <w:spacing w:after="60" w:before="60"/>
      </w:pPr>
      <w:r>
        <w:t xml:space="preserve"/>
      </w:r>
    </w:p>
    <w:p>
      <w:pPr>
        <w:pStyle w:val="Heading2"/>
        <w:spacing w:after="120" w:before="240"/>
      </w:pPr>
      <w:r>
        <w:rPr>
          <w:rFonts w:ascii="Arial" w:cs="Arial" w:eastAsia="Arial" w:hAnsi="Arial"/>
          <w:b/>
          <w:bCs/>
          <w:color w:val="0A0804"/>
          <w:sz w:val="28"/>
          <w:szCs w:val="28"/>
        </w:rPr>
        <w:t xml:space="preserve">6.3 · Hard Stop Protocol</w:t>
      </w:r>
    </w:p>
    <w:p>
      <w:pPr>
        <w:spacing w:after="80" w:before="80"/>
      </w:pPr>
      <w:r>
        <w:rPr>
          <w:rFonts w:ascii="Arial" w:cs="Arial" w:eastAsia="Arial" w:hAnsi="Arial"/>
          <w:color w:val="2C2C2A"/>
          <w:sz w:val="22"/>
          <w:szCs w:val="22"/>
        </w:rPr>
        <w:t xml:space="preserve">When the Forager identifies a toxic or fatal plant or mushroom, The Equalizer fires a hard stop. Red. No debate. No contextual framing. The result is: STOP. Do not consume. If a K9 is in the member’s care profile and the plant is toxic to dogs, the K9 flag fires independently. Both flags appear simultaneously.</w:t>
      </w:r>
    </w:p>
    <w:p>
      <w:pPr>
        <w:spacing w:after="60" w:before="60"/>
      </w:pPr>
      <w:r>
        <w:t xml:space="preserve"/>
      </w:r>
    </w:p>
    <w:p>
      <w:pPr>
        <w:pStyle w:val="Heading2"/>
        <w:spacing w:after="120" w:before="240"/>
      </w:pPr>
      <w:r>
        <w:rPr>
          <w:rFonts w:ascii="Arial" w:cs="Arial" w:eastAsia="Arial" w:hAnsi="Arial"/>
          <w:b/>
          <w:bCs/>
          <w:color w:val="0A0804"/>
          <w:sz w:val="28"/>
          <w:szCs w:val="28"/>
        </w:rPr>
        <w:t xml:space="preserve">6.4 · Forager + Apothecary Integration</w:t>
      </w:r>
    </w:p>
    <w:p>
      <w:pPr>
        <w:spacing w:after="80" w:before="80"/>
      </w:pPr>
      <w:r>
        <w:rPr>
          <w:rFonts w:ascii="Arial" w:cs="Arial" w:eastAsia="Arial" w:hAnsi="Arial"/>
          <w:color w:val="2C2C2A"/>
          <w:sz w:val="22"/>
          <w:szCs w:val="22"/>
        </w:rPr>
        <w:t xml:space="preserve">Forager and Apothecary are separate tabs but connected intelligence layers. When Forager identifies a plant that is also in the Apothecary database, it surfaces the Apothecary card inline. The member sees not just “this is safe to pick” but also “here is what this plant does inside your body and why it matters for your current membrane state.”</w:t>
      </w:r>
    </w:p>
    <w:p>
      <w:pPr>
        <w:spacing w:after="60" w:before="60"/>
      </w:pPr>
      <w:r>
        <w:t xml:space="preserve"/>
      </w:r>
    </w:p>
    <w:p>
      <w:pPr>
        <w:spacing w:after="80" w:before="80"/>
      </w:pPr>
      <w:r>
        <w:rPr>
          <w:rFonts w:ascii="Arial" w:cs="Arial" w:eastAsia="Arial" w:hAnsi="Arial"/>
          <w:color w:val="2C2C2A"/>
          <w:sz w:val="22"/>
          <w:szCs w:val="22"/>
        </w:rPr>
        <w:t xml:space="preserve">This is the S.C.A.N. nerve extending into the wild — Safety Clarifier Adaptive Nerve operating in terrain that has no barcode, no label, and no store shelf.</w:t>
      </w:r>
    </w:p>
    <w:p>
      <w:pPr>
        <w:pBdr>
          <w:bottom w:val="single" w:color="C49A2A" w:sz="4" w:space="1"/>
        </w:pBdr>
        <w:spacing w:after="160" w:before="160"/>
      </w:pPr>
      <w:r>
        <w:t xml:space="preserve"/>
      </w:r>
    </w:p>
    <w:p>
      <w:pPr>
        <w:pStyle w:val="Heading1"/>
        <w:spacing w:after="160" w:before="320"/>
      </w:pPr>
      <w:r>
        <w:rPr>
          <w:rFonts w:ascii="Arial" w:cs="Arial" w:eastAsia="Arial" w:hAnsi="Arial"/>
          <w:b/>
          <w:bCs/>
          <w:color w:val="0A0804"/>
          <w:sz w:val="36"/>
          <w:szCs w:val="36"/>
        </w:rPr>
        <w:t xml:space="preserve">Section 7 · Allergy &amp; Life Scanner Doctrine</w:t>
      </w:r>
    </w:p>
    <w:p>
      <w:pPr>
        <w:spacing w:after="60" w:before="60"/>
      </w:pPr>
      <w:r>
        <w:t xml:space="preserve"/>
      </w:r>
    </w:p>
    <w:p>
      <w:pPr>
        <w:spacing w:after="80" w:before="80"/>
      </w:pPr>
      <w:r>
        <w:rPr>
          <w:rFonts w:ascii="Arial" w:cs="Arial" w:eastAsia="Arial" w:hAnsi="Arial"/>
          <w:color w:val="2C2C2A"/>
          <w:sz w:val="22"/>
          <w:szCs w:val="22"/>
        </w:rPr>
        <w:t xml:space="preserve">The Allergy &amp; Life Scanner is a real-world decision filter. It sits before purchase, consumption, exposure, travel, care decisions, training, and trust. It answers one core question in real time:</w:t>
      </w:r>
    </w:p>
    <w:p>
      <w:pPr>
        <w:spacing w:after="60" w:before="60"/>
      </w:pPr>
      <w:r>
        <w:t xml:space="preserve"/>
      </w:r>
    </w:p>
    <w:p>
      <w:pPr>
        <w:spacing w:after="120" w:before="120"/>
        <w:jc w:val="center"/>
      </w:pPr>
      <w:r>
        <w:rPr>
          <w:rFonts w:ascii="Arial" w:cs="Arial" w:eastAsia="Arial" w:hAnsi="Arial"/>
          <w:b/>
          <w:bCs/>
          <w:i/>
          <w:iCs/>
          <w:color w:val="C49A2A"/>
          <w:sz w:val="26"/>
          <w:szCs w:val="26"/>
        </w:rPr>
        <w:t xml:space="preserve">“Is this safe, aligned, and appropriate for this human or animal — right now?”</w:t>
      </w:r>
    </w:p>
    <w:p>
      <w:pPr>
        <w:spacing w:after="60" w:before="60"/>
      </w:pPr>
      <w:r>
        <w:t xml:space="preserve"/>
      </w:r>
    </w:p>
    <w:p>
      <w:pPr>
        <w:pStyle w:val="Heading2"/>
        <w:spacing w:after="120" w:before="240"/>
      </w:pPr>
      <w:r>
        <w:rPr>
          <w:rFonts w:ascii="Arial" w:cs="Arial" w:eastAsia="Arial" w:hAnsi="Arial"/>
          <w:b/>
          <w:bCs/>
          <w:color w:val="0A0804"/>
          <w:sz w:val="28"/>
          <w:szCs w:val="28"/>
        </w:rPr>
        <w:t xml:space="preserve">7.1 · Chemical Doctrine (The Foundational Law)</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AF7F2" w:val="clear"/>
            <w:tcMar>
              <w:top w:type="dxa" w:w="120"/>
              <w:left w:type="dxa" w:w="180"/>
              <w:bottom w:type="dxa" w:w="120"/>
              <w:right w:type="dxa" w:w="180"/>
            </w:tcMar>
          </w:tcPr>
          <w:p>
            <w:pPr>
              <w:spacing w:after="80" w:before="40"/>
            </w:pPr>
            <w:r>
              <w:rPr>
                <w:rFonts w:ascii="Arial" w:cs="Arial" w:eastAsia="Arial" w:hAnsi="Arial"/>
                <w:b/>
                <w:bCs/>
                <w:color w:val="C49A2A"/>
                <w:sz w:val="20"/>
                <w:szCs w:val="20"/>
              </w:rPr>
              <w:t xml:space="preserve">Core Chemical Law</w:t>
            </w:r>
          </w:p>
          <w:p>
            <w:pPr>
              <w:spacing w:after="40" w:before="0"/>
            </w:pPr>
            <w:r>
              <w:rPr>
                <w:rFonts w:ascii="Arial" w:cs="Arial" w:eastAsia="Arial" w:hAnsi="Arial"/>
                <w:color w:val="2C2C2A"/>
                <w:sz w:val="20"/>
                <w:szCs w:val="20"/>
              </w:rPr>
              <w:t xml:space="preserve">Chemicals are silent actors. They do not announce intent. They reveal themselves only through the body. AA2 treats chemicals not as ingredients but as behavioral forces. They influence mood, inflammation, cognition, sleep, aggression, anxiety, bonding, learning speed, recovery, and trust signals.</w:t>
            </w:r>
          </w:p>
        </w:tc>
      </w:tr>
    </w:tbl>
    <w:p>
      <w:pPr>
        <w:spacing w:after="60" w:before="60"/>
      </w:pPr>
      <w:r>
        <w:t xml:space="preserve"/>
      </w:r>
    </w:p>
    <w:p>
      <w:pPr>
        <w:pStyle w:val="Heading3"/>
        <w:spacing w:after="80" w:before="180"/>
      </w:pPr>
      <w:r>
        <w:rPr>
          <w:rFonts w:ascii="Arial" w:cs="Arial" w:eastAsia="Arial" w:hAnsi="Arial"/>
          <w:b/>
          <w:bCs/>
          <w:color w:val="444441"/>
          <w:sz w:val="24"/>
          <w:szCs w:val="24"/>
        </w:rPr>
        <w:t xml:space="preserve">Five Chemical Doctrine Principles</w:t>
      </w:r>
    </w:p>
    <w:p>
      <w:pPr>
        <w:pStyle w:val="ListParagraph"/>
        <w:numPr>
          <w:ilvl w:val="0"/>
          <w:numId w:val="2"/>
        </w:numPr>
        <w:spacing w:after="40" w:before="40"/>
        <w:ind w:left="720" w:hanging="360"/>
      </w:pPr>
      <w:r>
        <w:rPr>
          <w:rFonts w:ascii="Arial" w:cs="Arial" w:eastAsia="Arial" w:hAnsi="Arial"/>
          <w:color w:val="2C2C2A"/>
          <w:sz w:val="22"/>
          <w:szCs w:val="22"/>
        </w:rPr>
        <w:t xml:space="preserve">Exposure over label — a safe ingredient becomes unsafe through repetition, timing, or combination</w:t>
      </w:r>
    </w:p>
    <w:p>
      <w:pPr>
        <w:pStyle w:val="ListParagraph"/>
        <w:numPr>
          <w:ilvl w:val="0"/>
          <w:numId w:val="2"/>
        </w:numPr>
        <w:spacing w:after="40" w:before="40"/>
        <w:ind w:left="720" w:hanging="360"/>
      </w:pPr>
      <w:r>
        <w:rPr>
          <w:rFonts w:ascii="Arial" w:cs="Arial" w:eastAsia="Arial" w:hAnsi="Arial"/>
          <w:color w:val="2C2C2A"/>
          <w:sz w:val="22"/>
          <w:szCs w:val="22"/>
        </w:rPr>
        <w:t xml:space="preserve">Cumulative load matters — AA2 tracks stacking across days, weeks, environments, and stress states</w:t>
      </w:r>
    </w:p>
    <w:p>
      <w:pPr>
        <w:pStyle w:val="ListParagraph"/>
        <w:numPr>
          <w:ilvl w:val="0"/>
          <w:numId w:val="2"/>
        </w:numPr>
        <w:spacing w:after="40" w:before="40"/>
        <w:ind w:left="720" w:hanging="360"/>
      </w:pPr>
      <w:r>
        <w:rPr>
          <w:rFonts w:ascii="Arial" w:cs="Arial" w:eastAsia="Arial" w:hAnsi="Arial"/>
          <w:color w:val="2C2C2A"/>
          <w:sz w:val="22"/>
          <w:szCs w:val="22"/>
        </w:rPr>
        <w:t xml:space="preserve">Biosignal is the judge — if the body reacts, the doctrine updates. No debate.</w:t>
      </w:r>
    </w:p>
    <w:p>
      <w:pPr>
        <w:pStyle w:val="ListParagraph"/>
        <w:numPr>
          <w:ilvl w:val="0"/>
          <w:numId w:val="2"/>
        </w:numPr>
        <w:spacing w:after="40" w:before="40"/>
        <w:ind w:left="720" w:hanging="360"/>
      </w:pPr>
      <w:r>
        <w:rPr>
          <w:rFonts w:ascii="Arial" w:cs="Arial" w:eastAsia="Arial" w:hAnsi="Arial"/>
          <w:color w:val="2C2C2A"/>
          <w:sz w:val="22"/>
          <w:szCs w:val="22"/>
        </w:rPr>
        <w:t xml:space="preserve">Children, animals, and stressed adults are not mini adults — sensitivity scales dynamically</w:t>
      </w:r>
    </w:p>
    <w:p>
      <w:pPr>
        <w:pStyle w:val="ListParagraph"/>
        <w:numPr>
          <w:ilvl w:val="0"/>
          <w:numId w:val="2"/>
        </w:numPr>
        <w:spacing w:after="40" w:before="40"/>
        <w:ind w:left="720" w:hanging="360"/>
      </w:pPr>
      <w:r>
        <w:rPr>
          <w:rFonts w:ascii="Arial" w:cs="Arial" w:eastAsia="Arial" w:hAnsi="Arial"/>
          <w:color w:val="2C2C2A"/>
          <w:sz w:val="22"/>
          <w:szCs w:val="22"/>
        </w:rPr>
        <w:t xml:space="preserve">Chemicals affect learning, trust, and behavior — this is performance, safety, and future alignment</w:t>
      </w:r>
    </w:p>
    <w:p>
      <w:pPr>
        <w:spacing w:after="60" w:before="60"/>
      </w:pPr>
      <w:r>
        <w:t xml:space="preserve"/>
      </w:r>
    </w:p>
    <w:p>
      <w:pPr>
        <w:pStyle w:val="Heading2"/>
        <w:spacing w:after="120" w:before="240"/>
      </w:pPr>
      <w:r>
        <w:rPr>
          <w:rFonts w:ascii="Arial" w:cs="Arial" w:eastAsia="Arial" w:hAnsi="Arial"/>
          <w:b/>
          <w:bCs/>
          <w:color w:val="0A0804"/>
          <w:sz w:val="28"/>
          <w:szCs w:val="28"/>
        </w:rPr>
        <w:t xml:space="preserve">7.2 · Nine Onboarding Stories (Sealed)</w:t>
      </w:r>
    </w:p>
    <w:p>
      <w:pPr>
        <w:spacing w:after="60" w:before="60"/>
      </w:pPr>
      <w:r>
        <w:t xml:space="preserve"/>
      </w:r>
    </w:p>
    <w:p>
      <w:pPr>
        <w:pStyle w:val="Heading3"/>
        <w:spacing w:after="80" w:before="180"/>
      </w:pPr>
      <w:r>
        <w:rPr>
          <w:rFonts w:ascii="Arial" w:cs="Arial" w:eastAsia="Arial" w:hAnsi="Arial"/>
          <w:b/>
          <w:bCs/>
          <w:color w:val="444441"/>
          <w:sz w:val="24"/>
          <w:szCs w:val="24"/>
        </w:rPr>
        <w:t xml:space="preserve">Story 1 — The Grocery Aisle (Parents)</w:t>
      </w:r>
    </w:p>
    <w:p>
      <w:pPr>
        <w:spacing w:after="80" w:before="80"/>
      </w:pPr>
      <w:r>
        <w:rPr>
          <w:rFonts w:ascii="Arial" w:cs="Arial" w:eastAsia="Arial" w:hAnsi="Arial"/>
          <w:color w:val="2C2C2A"/>
          <w:sz w:val="22"/>
          <w:szCs w:val="22"/>
        </w:rPr>
        <w:t xml:space="preserve">A parent scans cereal. Nothing alarming on the label. AA2 says: this conflicts with your child’s sleep recovery trend. Parent switches brands. No drama. No lecture. Just prevention. Lesson: chemicals affect behavior before symptoms.</w:t>
      </w:r>
    </w:p>
    <w:p>
      <w:pPr>
        <w:spacing w:after="60" w:before="60"/>
      </w:pPr>
      <w:r>
        <w:t xml:space="preserve"/>
      </w:r>
    </w:p>
    <w:p>
      <w:pPr>
        <w:pStyle w:val="Heading3"/>
        <w:spacing w:after="80" w:before="180"/>
      </w:pPr>
      <w:r>
        <w:rPr>
          <w:rFonts w:ascii="Arial" w:cs="Arial" w:eastAsia="Arial" w:hAnsi="Arial"/>
          <w:b/>
          <w:bCs/>
          <w:color w:val="444441"/>
          <w:sz w:val="24"/>
          <w:szCs w:val="24"/>
        </w:rPr>
        <w:t xml:space="preserve">Story 2 — The School Lunch (Children)</w:t>
      </w:r>
    </w:p>
    <w:p>
      <w:pPr>
        <w:spacing w:after="80" w:before="80"/>
      </w:pPr>
      <w:r>
        <w:rPr>
          <w:rFonts w:ascii="Arial" w:cs="Arial" w:eastAsia="Arial" w:hAnsi="Arial"/>
          <w:color w:val="2C2C2A"/>
          <w:sz w:val="22"/>
          <w:szCs w:val="22"/>
        </w:rPr>
        <w:t xml:space="preserve">A child scans food at school. The scanner translates ingredients into simple language. The child learns words, meaning, self-awareness. They choose differently by themselves. Lesson: agency beats restriction.</w:t>
      </w:r>
    </w:p>
    <w:p>
      <w:pPr>
        <w:spacing w:after="60" w:before="60"/>
      </w:pPr>
      <w:r>
        <w:t xml:space="preserve"/>
      </w:r>
    </w:p>
    <w:p>
      <w:pPr>
        <w:pStyle w:val="Heading3"/>
        <w:spacing w:after="80" w:before="180"/>
      </w:pPr>
      <w:r>
        <w:rPr>
          <w:rFonts w:ascii="Arial" w:cs="Arial" w:eastAsia="Arial" w:hAnsi="Arial"/>
          <w:b/>
          <w:bCs/>
          <w:color w:val="444441"/>
          <w:sz w:val="24"/>
          <w:szCs w:val="24"/>
        </w:rPr>
        <w:t xml:space="preserve">Story 3 — The Foreign Menu (Travel)</w:t>
      </w:r>
    </w:p>
    <w:p>
      <w:pPr>
        <w:spacing w:after="80" w:before="80"/>
      </w:pPr>
      <w:r>
        <w:rPr>
          <w:rFonts w:ascii="Arial" w:cs="Arial" w:eastAsia="Arial" w:hAnsi="Arial"/>
          <w:color w:val="2C2C2A"/>
          <w:sz w:val="22"/>
          <w:szCs w:val="22"/>
        </w:rPr>
        <w:t xml:space="preserve">A family abroad scans a menu. AA2 translates, explains preparation, warns about regional substitutes. They eat confidently. Lesson: cultural curiosity without risk.</w:t>
      </w:r>
    </w:p>
    <w:p>
      <w:pPr>
        <w:spacing w:after="60" w:before="60"/>
      </w:pPr>
      <w:r>
        <w:t xml:space="preserve"/>
      </w:r>
    </w:p>
    <w:p>
      <w:pPr>
        <w:pStyle w:val="Heading3"/>
        <w:spacing w:after="80" w:before="180"/>
      </w:pPr>
      <w:r>
        <w:rPr>
          <w:rFonts w:ascii="Arial" w:cs="Arial" w:eastAsia="Arial" w:hAnsi="Arial"/>
          <w:b/>
          <w:bCs/>
          <w:color w:val="444441"/>
          <w:sz w:val="24"/>
          <w:szCs w:val="24"/>
        </w:rPr>
        <w:t xml:space="preserve">Story 4 — The Uber Ride (Young Adult Safety)</w:t>
      </w:r>
    </w:p>
    <w:p>
      <w:pPr>
        <w:spacing w:after="80" w:before="80"/>
      </w:pPr>
      <w:r>
        <w:rPr>
          <w:rFonts w:ascii="Arial" w:cs="Arial" w:eastAsia="Arial" w:hAnsi="Arial"/>
          <w:color w:val="2C2C2A"/>
          <w:sz w:val="22"/>
          <w:szCs w:val="22"/>
        </w:rPr>
        <w:t xml:space="preserve">Heart rate rises unexpectedly. AA2 notes chemical + stress + environment overlap. Subtle alert: environment inconsistent with baseline. Awareness increases. Nothing escalates. Lesson: safety begins before danger.</w:t>
      </w:r>
    </w:p>
    <w:p>
      <w:pPr>
        <w:spacing w:after="60" w:before="60"/>
      </w:pPr>
      <w:r>
        <w:t xml:space="preserve"/>
      </w:r>
    </w:p>
    <w:p>
      <w:pPr>
        <w:pStyle w:val="Heading3"/>
        <w:spacing w:after="80" w:before="180"/>
      </w:pPr>
      <w:r>
        <w:rPr>
          <w:rFonts w:ascii="Arial" w:cs="Arial" w:eastAsia="Arial" w:hAnsi="Arial"/>
          <w:b/>
          <w:bCs/>
          <w:color w:val="444441"/>
          <w:sz w:val="24"/>
          <w:szCs w:val="24"/>
        </w:rPr>
        <w:t xml:space="preserve">Story 5 — The First Date Drink (Trust)</w:t>
      </w:r>
    </w:p>
    <w:p>
      <w:pPr>
        <w:spacing w:after="80" w:before="80"/>
      </w:pPr>
      <w:r>
        <w:rPr>
          <w:rFonts w:ascii="Arial" w:cs="Arial" w:eastAsia="Arial" w:hAnsi="Arial"/>
          <w:color w:val="2C2C2A"/>
          <w:sz w:val="22"/>
          <w:szCs w:val="22"/>
        </w:rPr>
        <w:t xml:space="preserve">A drink is scanned. AA2 recalls past reactions, delayed effects, tolerance drift. User switches drinks. The night stays clear. Lesson: chemistry affects judgment.</w:t>
      </w:r>
    </w:p>
    <w:p>
      <w:pPr>
        <w:spacing w:after="60" w:before="60"/>
      </w:pPr>
      <w:r>
        <w:t xml:space="preserve"/>
      </w:r>
    </w:p>
    <w:p>
      <w:pPr>
        <w:pStyle w:val="Heading3"/>
        <w:spacing w:after="80" w:before="180"/>
      </w:pPr>
      <w:r>
        <w:rPr>
          <w:rFonts w:ascii="Arial" w:cs="Arial" w:eastAsia="Arial" w:hAnsi="Arial"/>
          <w:b/>
          <w:bCs/>
          <w:color w:val="444441"/>
          <w:sz w:val="24"/>
          <w:szCs w:val="24"/>
        </w:rPr>
        <w:t xml:space="preserve">Story 6 — The Dog That Wouldn’t Eat (Pets)</w:t>
      </w:r>
    </w:p>
    <w:p>
      <w:pPr>
        <w:spacing w:after="80" w:before="80"/>
      </w:pPr>
      <w:r>
        <w:rPr>
          <w:rFonts w:ascii="Arial" w:cs="Arial" w:eastAsia="Arial" w:hAnsi="Arial"/>
          <w:color w:val="2C2C2A"/>
          <w:sz w:val="22"/>
          <w:szCs w:val="22"/>
        </w:rPr>
        <w:t xml:space="preserve">A dog refuses food. Scanner reveals recent formula change, chemical irritant, stress overlap with handler. Food is changed. Behavior normalizes. Lesson: animals speak through biosignals.</w:t>
      </w:r>
    </w:p>
    <w:p>
      <w:pPr>
        <w:spacing w:after="60" w:before="60"/>
      </w:pPr>
      <w:r>
        <w:t xml:space="preserve"/>
      </w:r>
    </w:p>
    <w:p>
      <w:pPr>
        <w:pStyle w:val="Heading3"/>
        <w:spacing w:after="80" w:before="180"/>
      </w:pPr>
      <w:r>
        <w:rPr>
          <w:rFonts w:ascii="Arial" w:cs="Arial" w:eastAsia="Arial" w:hAnsi="Arial"/>
          <w:b/>
          <w:bCs/>
          <w:color w:val="444441"/>
          <w:sz w:val="24"/>
          <w:szCs w:val="24"/>
        </w:rPr>
        <w:t xml:space="preserve">Story 7 — The Working K9 (Tactical)</w:t>
      </w:r>
    </w:p>
    <w:p>
      <w:pPr>
        <w:spacing w:after="80" w:before="80"/>
      </w:pPr>
      <w:r>
        <w:rPr>
          <w:rFonts w:ascii="Arial" w:cs="Arial" w:eastAsia="Arial" w:hAnsi="Arial"/>
          <w:color w:val="2C2C2A"/>
          <w:sz w:val="22"/>
          <w:szCs w:val="22"/>
        </w:rPr>
        <w:t xml:space="preserve">Handler stress rises. Dog stress follows. Scanner flags supplement interaction, environment exposure, hydration imbalance. Mission readiness preserved. Lesson: handler biology transfers.</w:t>
      </w:r>
    </w:p>
    <w:p>
      <w:pPr>
        <w:spacing w:after="60" w:before="60"/>
      </w:pPr>
      <w:r>
        <w:t xml:space="preserve"/>
      </w:r>
    </w:p>
    <w:p>
      <w:pPr>
        <w:pStyle w:val="Heading3"/>
        <w:spacing w:after="80" w:before="180"/>
      </w:pPr>
      <w:r>
        <w:rPr>
          <w:rFonts w:ascii="Arial" w:cs="Arial" w:eastAsia="Arial" w:hAnsi="Arial"/>
          <w:b/>
          <w:bCs/>
          <w:color w:val="444441"/>
          <w:sz w:val="24"/>
          <w:szCs w:val="24"/>
        </w:rPr>
        <w:t xml:space="preserve">Story 8 — The Doctor Visit (Medical Sharing)</w:t>
      </w:r>
    </w:p>
    <w:p>
      <w:pPr>
        <w:spacing w:after="80" w:before="80"/>
      </w:pPr>
      <w:r>
        <w:rPr>
          <w:rFonts w:ascii="Arial" w:cs="Arial" w:eastAsia="Arial" w:hAnsi="Arial"/>
          <w:color w:val="2C2C2A"/>
          <w:sz w:val="22"/>
          <w:szCs w:val="22"/>
        </w:rPr>
        <w:t xml:space="preserve">User opts to share AA2 data. Physician sees exposure timeline, reaction curves, recovery patterns. Diagnosis accelerates. Lesson: data removes guesswork.</w:t>
      </w:r>
    </w:p>
    <w:p>
      <w:pPr>
        <w:spacing w:after="60" w:before="60"/>
      </w:pPr>
      <w:r>
        <w:t xml:space="preserve"/>
      </w:r>
    </w:p>
    <w:p>
      <w:pPr>
        <w:pStyle w:val="Heading3"/>
        <w:spacing w:after="80" w:before="180"/>
      </w:pPr>
      <w:r>
        <w:rPr>
          <w:rFonts w:ascii="Arial" w:cs="Arial" w:eastAsia="Arial" w:hAnsi="Arial"/>
          <w:b/>
          <w:bCs/>
          <w:color w:val="444441"/>
          <w:sz w:val="24"/>
          <w:szCs w:val="24"/>
        </w:rPr>
        <w:t xml:space="preserve">Story 9 — The Long View (Legacy)</w:t>
      </w:r>
    </w:p>
    <w:p>
      <w:pPr>
        <w:spacing w:after="80" w:before="80"/>
      </w:pPr>
      <w:r>
        <w:rPr>
          <w:rFonts w:ascii="Arial" w:cs="Arial" w:eastAsia="Arial" w:hAnsi="Arial"/>
          <w:color w:val="2C2C2A"/>
          <w:sz w:val="22"/>
          <w:szCs w:val="22"/>
        </w:rPr>
        <w:t xml:space="preserve">Years of scans show fewer inflammatory spikes, improved learning, calmer baseline, healthier animals, aligned spending. AA2 says nothing. The results speak. Lesson: small decisions compound into legacy.</w:t>
      </w:r>
    </w:p>
    <w:p>
      <w:pPr>
        <w:spacing w:after="60" w:before="60"/>
      </w:pPr>
      <w:r>
        <w:t xml:space="preserve"/>
      </w:r>
    </w:p>
    <w:p>
      <w:pPr>
        <w:pBdr>
          <w:bottom w:val="single" w:color="C49A2A" w:sz="4" w:space="1"/>
        </w:pBdr>
        <w:spacing w:after="160" w:before="160"/>
      </w:pPr>
      <w:r>
        <w:t xml:space="preserve"/>
      </w:r>
    </w:p>
    <w:p>
      <w:r>
        <w:br w:type="page"/>
      </w:r>
    </w:p>
    <w:p>
      <w:pPr>
        <w:pStyle w:val="Heading1"/>
        <w:spacing w:after="160" w:before="320"/>
      </w:pPr>
      <w:r>
        <w:rPr>
          <w:rFonts w:ascii="Arial" w:cs="Arial" w:eastAsia="Arial" w:hAnsi="Arial"/>
          <w:b/>
          <w:bCs/>
          <w:color w:val="0A0804"/>
          <w:sz w:val="36"/>
          <w:szCs w:val="36"/>
        </w:rPr>
        <w:t xml:space="preserve">Section 8 · Current Build State</w:t>
      </w:r>
    </w:p>
    <w:p>
      <w:pPr>
        <w:spacing w:after="60" w:before="60"/>
      </w:pPr>
      <w:r>
        <w:t xml:space="preserve"/>
      </w:r>
    </w:p>
    <w:p>
      <w:pPr>
        <w:pStyle w:val="Heading2"/>
        <w:spacing w:after="120" w:before="240"/>
      </w:pPr>
      <w:r>
        <w:rPr>
          <w:rFonts w:ascii="Arial" w:cs="Arial" w:eastAsia="Arial" w:hAnsi="Arial"/>
          <w:b/>
          <w:bCs/>
          <w:color w:val="0A0804"/>
          <w:sz w:val="28"/>
          <w:szCs w:val="28"/>
        </w:rPr>
        <w:t xml:space="preserve">8.1 · Infrastructure</w:t>
      </w:r>
    </w:p>
    <w:p>
      <w:pPr>
        <w:pStyle w:val="ListParagraph"/>
        <w:numPr>
          <w:ilvl w:val="0"/>
          <w:numId w:val="2"/>
        </w:numPr>
        <w:spacing w:after="40" w:before="40"/>
        <w:ind w:left="720" w:hanging="360"/>
      </w:pPr>
      <w:r>
        <w:rPr>
          <w:rFonts w:ascii="Arial" w:cs="Arial" w:eastAsia="Arial" w:hAnsi="Arial"/>
          <w:color w:val="2C2C2A"/>
          <w:sz w:val="22"/>
          <w:szCs w:val="22"/>
        </w:rPr>
        <w:t xml:space="preserve">Codebase: /Users/jamespitts/Downloads/aa2-scan</w:t>
      </w:r>
    </w:p>
    <w:p>
      <w:pPr>
        <w:pStyle w:val="ListParagraph"/>
        <w:numPr>
          <w:ilvl w:val="0"/>
          <w:numId w:val="2"/>
        </w:numPr>
        <w:spacing w:after="40" w:before="40"/>
        <w:ind w:left="720" w:hanging="360"/>
      </w:pPr>
      <w:r>
        <w:rPr>
          <w:rFonts w:ascii="Arial" w:cs="Arial" w:eastAsia="Arial" w:hAnsi="Arial"/>
          <w:color w:val="2C2C2A"/>
          <w:sz w:val="22"/>
          <w:szCs w:val="22"/>
        </w:rPr>
        <w:t xml:space="preserve">GitHub: github.com/AA2LABS/aa2-scan</w:t>
      </w:r>
    </w:p>
    <w:p>
      <w:pPr>
        <w:pStyle w:val="ListParagraph"/>
        <w:numPr>
          <w:ilvl w:val="0"/>
          <w:numId w:val="2"/>
        </w:numPr>
        <w:spacing w:after="40" w:before="40"/>
        <w:ind w:left="720" w:hanging="360"/>
      </w:pPr>
      <w:r>
        <w:rPr>
          <w:rFonts w:ascii="Arial" w:cs="Arial" w:eastAsia="Arial" w:hAnsi="Arial"/>
          <w:color w:val="2C2C2A"/>
          <w:sz w:val="22"/>
          <w:szCs w:val="22"/>
        </w:rPr>
        <w:t xml:space="preserve">Expo account: aa2founder@gmail.com (AA2LABS org)</w:t>
      </w:r>
    </w:p>
    <w:p>
      <w:pPr>
        <w:pStyle w:val="ListParagraph"/>
        <w:numPr>
          <w:ilvl w:val="0"/>
          <w:numId w:val="2"/>
        </w:numPr>
        <w:spacing w:after="40" w:before="40"/>
        <w:ind w:left="720" w:hanging="360"/>
      </w:pPr>
      <w:r>
        <w:rPr>
          <w:rFonts w:ascii="Arial" w:cs="Arial" w:eastAsia="Arial" w:hAnsi="Arial"/>
          <w:color w:val="2C2C2A"/>
          <w:sz w:val="22"/>
          <w:szCs w:val="22"/>
        </w:rPr>
        <w:t xml:space="preserve">Supabase: zvxdpfbvmxzhjqrnllb.supabase.co — LIVE</w:t>
      </w:r>
    </w:p>
    <w:p>
      <w:pPr>
        <w:pStyle w:val="ListParagraph"/>
        <w:numPr>
          <w:ilvl w:val="0"/>
          <w:numId w:val="2"/>
        </w:numPr>
        <w:spacing w:after="40" w:before="40"/>
        <w:ind w:left="720" w:hanging="360"/>
      </w:pPr>
      <w:r>
        <w:rPr>
          <w:rFonts w:ascii="Arial" w:cs="Arial" w:eastAsia="Arial" w:hAnsi="Arial"/>
          <w:color w:val="2C2C2A"/>
          <w:sz w:val="22"/>
          <w:szCs w:val="22"/>
        </w:rPr>
        <w:t xml:space="preserve">Framework: React Native + Expo + TypeScript</w:t>
      </w:r>
    </w:p>
    <w:p>
      <w:pPr>
        <w:pStyle w:val="ListParagraph"/>
        <w:numPr>
          <w:ilvl w:val="0"/>
          <w:numId w:val="2"/>
        </w:numPr>
        <w:spacing w:after="40" w:before="40"/>
        <w:ind w:left="720" w:hanging="360"/>
      </w:pPr>
      <w:r>
        <w:rPr>
          <w:rFonts w:ascii="Arial" w:cs="Arial" w:eastAsia="Arial" w:hAnsi="Arial"/>
          <w:color w:val="2C2C2A"/>
          <w:sz w:val="22"/>
          <w:szCs w:val="22"/>
        </w:rPr>
        <w:t xml:space="preserve">AI intelligence: claude-sonnet-4-20250514</w:t>
      </w:r>
    </w:p>
    <w:p>
      <w:pPr>
        <w:spacing w:after="60" w:before="60"/>
      </w:pPr>
      <w:r>
        <w:t xml:space="preserve"/>
      </w:r>
    </w:p>
    <w:p>
      <w:pPr>
        <w:pStyle w:val="Heading2"/>
        <w:spacing w:after="120" w:before="240"/>
      </w:pPr>
      <w:r>
        <w:rPr>
          <w:rFonts w:ascii="Arial" w:cs="Arial" w:eastAsia="Arial" w:hAnsi="Arial"/>
          <w:b/>
          <w:bCs/>
          <w:color w:val="0A0804"/>
          <w:sz w:val="28"/>
          <w:szCs w:val="28"/>
        </w:rPr>
        <w:t xml:space="preserve">8.2 · Hardware</w:t>
      </w:r>
    </w:p>
    <w:p>
      <w:pPr>
        <w:pStyle w:val="ListParagraph"/>
        <w:numPr>
          <w:ilvl w:val="0"/>
          <w:numId w:val="2"/>
        </w:numPr>
        <w:spacing w:after="40" w:before="40"/>
        <w:ind w:left="720" w:hanging="360"/>
      </w:pPr>
      <w:r>
        <w:rPr>
          <w:rFonts w:ascii="Arial" w:cs="Arial" w:eastAsia="Arial" w:hAnsi="Arial"/>
          <w:color w:val="2C2C2A"/>
          <w:sz w:val="22"/>
          <w:szCs w:val="22"/>
        </w:rPr>
        <w:t xml:space="preserve">Primary: Garmin Tactix 8 + Oura Ring 4</w:t>
      </w:r>
    </w:p>
    <w:p>
      <w:pPr>
        <w:pStyle w:val="ListParagraph"/>
        <w:numPr>
          <w:ilvl w:val="0"/>
          <w:numId w:val="2"/>
        </w:numPr>
        <w:spacing w:after="40" w:before="40"/>
        <w:ind w:left="720" w:hanging="360"/>
      </w:pPr>
      <w:r>
        <w:rPr>
          <w:rFonts w:ascii="Arial" w:cs="Arial" w:eastAsia="Arial" w:hAnsi="Arial"/>
          <w:color w:val="2C2C2A"/>
          <w:sz w:val="22"/>
          <w:szCs w:val="22"/>
        </w:rPr>
        <w:t xml:space="preserve">Test devices: Samsung Z-Fold (Android, primary via APK) + iPhone 11 (iOS, WiFi dev server)</w:t>
      </w:r>
    </w:p>
    <w:p>
      <w:pPr>
        <w:pStyle w:val="ListParagraph"/>
        <w:numPr>
          <w:ilvl w:val="0"/>
          <w:numId w:val="2"/>
        </w:numPr>
        <w:spacing w:after="40" w:before="40"/>
        <w:ind w:left="720" w:hanging="360"/>
      </w:pPr>
      <w:r>
        <w:rPr>
          <w:rFonts w:ascii="Arial" w:cs="Arial" w:eastAsia="Arial" w:hAnsi="Arial"/>
          <w:color w:val="2C2C2A"/>
          <w:sz w:val="22"/>
          <w:szCs w:val="22"/>
        </w:rPr>
        <w:t xml:space="preserve">Full stack: Beats Pro 2 + Meta Glasses + Mudra headband</w:t>
      </w:r>
    </w:p>
    <w:p>
      <w:pPr>
        <w:spacing w:after="60" w:before="60"/>
      </w:pPr>
      <w:r>
        <w:t xml:space="preserve"/>
      </w:r>
    </w:p>
    <w:p>
      <w:pPr>
        <w:pStyle w:val="Heading2"/>
        <w:spacing w:after="120" w:before="240"/>
      </w:pPr>
      <w:r>
        <w:rPr>
          <w:rFonts w:ascii="Arial" w:cs="Arial" w:eastAsia="Arial" w:hAnsi="Arial"/>
          <w:b/>
          <w:bCs/>
          <w:color w:val="0A0804"/>
          <w:sz w:val="28"/>
          <w:szCs w:val="28"/>
        </w:rPr>
        <w:t xml:space="preserve">8.3 · Biosignal Scaling Stack</w:t>
      </w:r>
    </w:p>
    <w:p>
      <w:pPr>
        <w:pStyle w:val="ListParagraph"/>
        <w:numPr>
          <w:ilvl w:val="0"/>
          <w:numId w:val="2"/>
        </w:numPr>
        <w:spacing w:after="40" w:before="40"/>
        <w:ind w:left="720" w:hanging="360"/>
      </w:pPr>
      <w:r>
        <w:rPr>
          <w:rFonts w:ascii="Arial" w:cs="Arial" w:eastAsia="Arial" w:hAnsi="Arial"/>
          <w:color w:val="2C2C2A"/>
          <w:sz w:val="22"/>
          <w:szCs w:val="22"/>
        </w:rPr>
        <w:t xml:space="preserve">Stage 1 (now): Oura personal access token (free) + Garmin .FIT export via BYOB upload</w:t>
      </w:r>
    </w:p>
    <w:p>
      <w:pPr>
        <w:pStyle w:val="ListParagraph"/>
        <w:numPr>
          <w:ilvl w:val="0"/>
          <w:numId w:val="2"/>
        </w:numPr>
        <w:spacing w:after="40" w:before="40"/>
        <w:ind w:left="720" w:hanging="360"/>
      </w:pPr>
      <w:r>
        <w:rPr>
          <w:rFonts w:ascii="Arial" w:cs="Arial" w:eastAsia="Arial" w:hAnsi="Arial"/>
          <w:color w:val="2C2C2A"/>
          <w:sz w:val="22"/>
          <w:szCs w:val="22"/>
        </w:rPr>
        <w:t xml:space="preserve">Stage 2 (3+ members): Terra API — deferred until 3+ members</w:t>
      </w:r>
    </w:p>
    <w:p>
      <w:pPr>
        <w:pStyle w:val="ListParagraph"/>
        <w:numPr>
          <w:ilvl w:val="0"/>
          <w:numId w:val="2"/>
        </w:numPr>
        <w:spacing w:after="40" w:before="40"/>
        <w:ind w:left="720" w:hanging="360"/>
      </w:pPr>
      <w:r>
        <w:rPr>
          <w:rFonts w:ascii="Arial" w:cs="Arial" w:eastAsia="Arial" w:hAnsi="Arial"/>
          <w:color w:val="2C2C2A"/>
          <w:sz w:val="22"/>
          <w:szCs w:val="22"/>
        </w:rPr>
        <w:t xml:space="preserve">Stage 3: Credits scale with users</w:t>
      </w:r>
    </w:p>
    <w:p>
      <w:pPr>
        <w:pStyle w:val="ListParagraph"/>
        <w:numPr>
          <w:ilvl w:val="0"/>
          <w:numId w:val="2"/>
        </w:numPr>
        <w:spacing w:after="40" w:before="40"/>
        <w:ind w:left="720" w:hanging="360"/>
      </w:pPr>
      <w:r>
        <w:rPr>
          <w:rFonts w:ascii="Arial" w:cs="Arial" w:eastAsia="Arial" w:hAnsi="Arial"/>
          <w:color w:val="2C2C2A"/>
          <w:sz w:val="22"/>
          <w:szCs w:val="22"/>
        </w:rPr>
        <w:t xml:space="preserve">Stage 4: Proprietary backend replaces all third parties</w:t>
      </w:r>
    </w:p>
    <w:p>
      <w:pPr>
        <w:spacing w:after="60" w:before="60"/>
      </w:pPr>
      <w:r>
        <w:t xml:space="preserve"/>
      </w:r>
    </w:p>
    <w:p>
      <w:pPr>
        <w:pStyle w:val="Heading2"/>
        <w:spacing w:after="120" w:before="240"/>
      </w:pPr>
      <w:r>
        <w:rPr>
          <w:rFonts w:ascii="Arial" w:cs="Arial" w:eastAsia="Arial" w:hAnsi="Arial"/>
          <w:b/>
          <w:bCs/>
          <w:color w:val="0A0804"/>
          <w:sz w:val="28"/>
          <w:szCs w:val="28"/>
        </w:rPr>
        <w:t xml:space="preserve">8.4 · Tab Architecture (Complete)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3240"/>
        <w:gridCol w:w="3240"/>
      </w:tblGrid>
      <w:tr>
        <w:tc>
          <w:tcPr>
            <w:tcW w:type="dxa" w:w="2880"/>
            <w:tcBorders>
              <w:top w:val="single" w:color="CCCCCC" w:sz="1"/>
              <w:left w:val="single" w:color="CCCCCC" w:sz="1"/>
              <w:bottom w:val="single" w:color="CCCCCC" w:sz="1"/>
              <w:right w:val="single" w:color="CCCCCC" w:sz="1"/>
            </w:tcBorders>
            <w:shd w:fill="C49A2A" w:val="clear"/>
            <w:tcMar>
              <w:top w:type="dxa" w:w="80"/>
              <w:left w:type="dxa" w:w="120"/>
              <w:bottom w:type="dxa" w:w="80"/>
              <w:right w:type="dxa" w:w="120"/>
            </w:tcMar>
          </w:tcPr>
          <w:p>
            <w:r>
              <w:rPr>
                <w:rFonts w:ascii="Arial" w:cs="Arial" w:eastAsia="Arial" w:hAnsi="Arial"/>
                <w:b/>
                <w:bCs/>
                <w:color w:val="0A0804"/>
                <w:sz w:val="20"/>
                <w:szCs w:val="20"/>
              </w:rPr>
              <w:t xml:space="preserve">Tab</w:t>
            </w:r>
          </w:p>
        </w:tc>
        <w:tc>
          <w:tcPr>
            <w:tcW w:type="dxa" w:w="3240"/>
            <w:tcBorders>
              <w:top w:val="single" w:color="CCCCCC" w:sz="1"/>
              <w:left w:val="single" w:color="CCCCCC" w:sz="1"/>
              <w:bottom w:val="single" w:color="CCCCCC" w:sz="1"/>
              <w:right w:val="single" w:color="CCCCCC" w:sz="1"/>
            </w:tcBorders>
            <w:shd w:fill="C49A2A" w:val="clear"/>
            <w:tcMar>
              <w:top w:type="dxa" w:w="80"/>
              <w:left w:type="dxa" w:w="120"/>
              <w:bottom w:type="dxa" w:w="80"/>
              <w:right w:type="dxa" w:w="120"/>
            </w:tcMar>
          </w:tcPr>
          <w:p>
            <w:r>
              <w:rPr>
                <w:rFonts w:ascii="Arial" w:cs="Arial" w:eastAsia="Arial" w:hAnsi="Arial"/>
                <w:b/>
                <w:bCs/>
                <w:color w:val="0A0804"/>
                <w:sz w:val="20"/>
                <w:szCs w:val="20"/>
              </w:rPr>
              <w:t xml:space="preserve">Intelligence</w:t>
            </w:r>
          </w:p>
        </w:tc>
        <w:tc>
          <w:tcPr>
            <w:tcW w:type="dxa" w:w="3240"/>
            <w:tcBorders>
              <w:top w:val="single" w:color="CCCCCC" w:sz="1"/>
              <w:left w:val="single" w:color="CCCCCC" w:sz="1"/>
              <w:bottom w:val="single" w:color="CCCCCC" w:sz="1"/>
              <w:right w:val="single" w:color="CCCCCC" w:sz="1"/>
            </w:tcBorders>
            <w:shd w:fill="C49A2A" w:val="clear"/>
            <w:tcMar>
              <w:top w:type="dxa" w:w="80"/>
              <w:left w:type="dxa" w:w="120"/>
              <w:bottom w:type="dxa" w:w="80"/>
              <w:right w:type="dxa" w:w="120"/>
            </w:tcMar>
          </w:tcPr>
          <w:p>
            <w:r>
              <w:rPr>
                <w:rFonts w:ascii="Arial" w:cs="Arial" w:eastAsia="Arial" w:hAnsi="Arial"/>
                <w:b/>
                <w:bCs/>
                <w:color w:val="0A0804"/>
                <w:sz w:val="20"/>
                <w:szCs w:val="20"/>
              </w:rPr>
              <w:t xml:space="preserve">Notes</w:t>
            </w:r>
          </w:p>
        </w:tc>
      </w:tr>
      <w:tr>
        <w:tc>
          <w:tcPr>
            <w:tcW w:type="dxa" w:w="28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color w:val="C49A2A"/>
                <w:sz w:val="20"/>
                <w:szCs w:val="20"/>
              </w:rPr>
              <w:t xml:space="preserve">S.C.A.N.</w:t>
            </w:r>
          </w:p>
        </w:tc>
        <w:tc>
          <w:tcPr>
            <w:tcW w:type="dxa" w:w="32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C2C2A"/>
                <w:sz w:val="20"/>
                <w:szCs w:val="20"/>
              </w:rPr>
              <w:t xml:space="preserve">All intelligences</w:t>
            </w:r>
          </w:p>
        </w:tc>
        <w:tc>
          <w:tcPr>
            <w:tcW w:type="dxa" w:w="32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i/>
                <w:iCs/>
                <w:color w:val="5F5E5A"/>
                <w:sz w:val="20"/>
                <w:szCs w:val="20"/>
              </w:rPr>
              <w:t xml:space="preserve">Core scanner, 9 databases, barcode + visual</w:t>
            </w:r>
          </w:p>
        </w:tc>
      </w:tr>
      <w:tr>
        <w:tc>
          <w:tcPr>
            <w:tcW w:type="dxa" w:w="28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color w:val="C49A2A"/>
                <w:sz w:val="20"/>
                <w:szCs w:val="20"/>
              </w:rPr>
              <w:t xml:space="preserve">Produce</w:t>
            </w:r>
          </w:p>
        </w:tc>
        <w:tc>
          <w:tcPr>
            <w:tcW w:type="dxa" w:w="32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C2C2A"/>
                <w:sz w:val="20"/>
                <w:szCs w:val="20"/>
              </w:rPr>
              <w:t xml:space="preserve">The Chef</w:t>
            </w:r>
          </w:p>
        </w:tc>
        <w:tc>
          <w:tcPr>
            <w:tcW w:type="dxa" w:w="32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i/>
                <w:iCs/>
                <w:color w:val="5F5E5A"/>
                <w:sz w:val="20"/>
                <w:szCs w:val="20"/>
              </w:rPr>
              <w:t xml:space="preserve">Seasonal, local, nutritional analysis</w:t>
            </w:r>
          </w:p>
        </w:tc>
      </w:tr>
      <w:tr>
        <w:tc>
          <w:tcPr>
            <w:tcW w:type="dxa" w:w="28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color w:val="C49A2A"/>
                <w:sz w:val="20"/>
                <w:szCs w:val="20"/>
              </w:rPr>
              <w:t xml:space="preserve">Meat</w:t>
            </w:r>
          </w:p>
        </w:tc>
        <w:tc>
          <w:tcPr>
            <w:tcW w:type="dxa" w:w="32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C2C2A"/>
                <w:sz w:val="20"/>
                <w:szCs w:val="20"/>
              </w:rPr>
              <w:t xml:space="preserve">The Chef</w:t>
            </w:r>
          </w:p>
        </w:tc>
        <w:tc>
          <w:tcPr>
            <w:tcW w:type="dxa" w:w="32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i/>
                <w:iCs/>
                <w:color w:val="5F5E5A"/>
                <w:sz w:val="20"/>
                <w:szCs w:val="20"/>
              </w:rPr>
              <w:t xml:space="preserve">CO2/MAP truth doctrine</w:t>
            </w:r>
          </w:p>
        </w:tc>
      </w:tr>
      <w:tr>
        <w:tc>
          <w:tcPr>
            <w:tcW w:type="dxa" w:w="28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color w:val="C49A2A"/>
                <w:sz w:val="20"/>
                <w:szCs w:val="20"/>
              </w:rPr>
              <w:t xml:space="preserve">Personal Care</w:t>
            </w:r>
          </w:p>
        </w:tc>
        <w:tc>
          <w:tcPr>
            <w:tcW w:type="dxa" w:w="32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C2C2A"/>
                <w:sz w:val="20"/>
                <w:szCs w:val="20"/>
              </w:rPr>
              <w:t xml:space="preserve">Cosmo Chemist</w:t>
            </w:r>
          </w:p>
        </w:tc>
        <w:tc>
          <w:tcPr>
            <w:tcW w:type="dxa" w:w="32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i/>
                <w:iCs/>
                <w:color w:val="5F5E5A"/>
                <w:sz w:val="20"/>
                <w:szCs w:val="20"/>
              </w:rPr>
              <w:t xml:space="preserve">Skin ingestion doctrine, Tier 1/2/3</w:t>
            </w:r>
          </w:p>
        </w:tc>
      </w:tr>
      <w:tr>
        <w:tc>
          <w:tcPr>
            <w:tcW w:type="dxa" w:w="28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color w:val="C49A2A"/>
                <w:sz w:val="20"/>
                <w:szCs w:val="20"/>
              </w:rPr>
              <w:t xml:space="preserve">Grown Folks</w:t>
            </w:r>
          </w:p>
        </w:tc>
        <w:tc>
          <w:tcPr>
            <w:tcW w:type="dxa" w:w="32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C2C2A"/>
                <w:sz w:val="20"/>
                <w:szCs w:val="20"/>
              </w:rPr>
              <w:t xml:space="preserve">The Chef</w:t>
            </w:r>
          </w:p>
        </w:tc>
        <w:tc>
          <w:tcPr>
            <w:tcW w:type="dxa" w:w="32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i/>
                <w:iCs/>
                <w:color w:val="5F5E5A"/>
                <w:sz w:val="20"/>
                <w:szCs w:val="20"/>
              </w:rPr>
              <w:t xml:space="preserve">Wine/spirits/beer pairings — item-specific</w:t>
            </w:r>
          </w:p>
        </w:tc>
      </w:tr>
      <w:tr>
        <w:tc>
          <w:tcPr>
            <w:tcW w:type="dxa" w:w="28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color w:val="C49A2A"/>
                <w:sz w:val="20"/>
                <w:szCs w:val="20"/>
              </w:rPr>
              <w:t xml:space="preserve">K9/Pet</w:t>
            </w:r>
          </w:p>
        </w:tc>
        <w:tc>
          <w:tcPr>
            <w:tcW w:type="dxa" w:w="32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C2C2A"/>
                <w:sz w:val="20"/>
                <w:szCs w:val="20"/>
              </w:rPr>
              <w:t xml:space="preserve">Canine + Feline Nutritionist</w:t>
            </w:r>
          </w:p>
        </w:tc>
        <w:tc>
          <w:tcPr>
            <w:tcW w:type="dxa" w:w="32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i/>
                <w:iCs/>
                <w:color w:val="5F5E5A"/>
                <w:sz w:val="20"/>
                <w:szCs w:val="20"/>
              </w:rPr>
              <w:t xml:space="preserve">Two sub-tabs; ASPCA DB#8</w:t>
            </w:r>
          </w:p>
        </w:tc>
      </w:tr>
      <w:tr>
        <w:tc>
          <w:tcPr>
            <w:tcW w:type="dxa" w:w="28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color w:val="C49A2A"/>
                <w:sz w:val="20"/>
                <w:szCs w:val="20"/>
              </w:rPr>
              <w:t xml:space="preserve">Apothecary</w:t>
            </w:r>
          </w:p>
        </w:tc>
        <w:tc>
          <w:tcPr>
            <w:tcW w:type="dxa" w:w="32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C2C2A"/>
                <w:sz w:val="20"/>
                <w:szCs w:val="20"/>
              </w:rPr>
              <w:t xml:space="preserve">The Equalizer</w:t>
            </w:r>
          </w:p>
        </w:tc>
        <w:tc>
          <w:tcPr>
            <w:tcW w:type="dxa" w:w="32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i/>
                <w:iCs/>
                <w:color w:val="5F5E5A"/>
                <w:sz w:val="20"/>
                <w:szCs w:val="20"/>
              </w:rPr>
              <w:t xml:space="preserve">Spoke 34; plant identity, safety, wild subs</w:t>
            </w:r>
          </w:p>
        </w:tc>
      </w:tr>
      <w:tr>
        <w:tc>
          <w:tcPr>
            <w:tcW w:type="dxa" w:w="28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color w:val="C49A2A"/>
                <w:sz w:val="20"/>
                <w:szCs w:val="20"/>
              </w:rPr>
              <w:t xml:space="preserve">Forager</w:t>
            </w:r>
          </w:p>
        </w:tc>
        <w:tc>
          <w:tcPr>
            <w:tcW w:type="dxa" w:w="32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C2C2A"/>
                <w:sz w:val="20"/>
                <w:szCs w:val="20"/>
              </w:rPr>
              <w:t xml:space="preserve">The Equalizer</w:t>
            </w:r>
          </w:p>
        </w:tc>
        <w:tc>
          <w:tcPr>
            <w:tcW w:type="dxa" w:w="32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i/>
                <w:iCs/>
                <w:color w:val="5F5E5A"/>
                <w:sz w:val="20"/>
                <w:szCs w:val="20"/>
              </w:rPr>
              <w:t xml:space="preserve">Spoke 35; wild scanning, edibility, toxicity</w:t>
            </w:r>
          </w:p>
        </w:tc>
      </w:tr>
    </w:tbl>
    <w:p>
      <w:pPr>
        <w:spacing w:after="60" w:before="60"/>
      </w:pPr>
      <w:r>
        <w:t xml:space="preserve"/>
      </w:r>
    </w:p>
    <w:p>
      <w:pPr>
        <w:pStyle w:val="Heading2"/>
        <w:spacing w:after="120" w:before="240"/>
      </w:pPr>
      <w:r>
        <w:rPr>
          <w:rFonts w:ascii="Arial" w:cs="Arial" w:eastAsia="Arial" w:hAnsi="Arial"/>
          <w:b/>
          <w:bCs/>
          <w:color w:val="0A0804"/>
          <w:sz w:val="28"/>
          <w:szCs w:val="28"/>
        </w:rPr>
        <w:t xml:space="preserve">8.5 · Permanent Build Laws</w:t>
      </w:r>
    </w:p>
    <w:p>
      <w:pPr>
        <w:pStyle w:val="ListParagraph"/>
        <w:numPr>
          <w:ilvl w:val="0"/>
          <w:numId w:val="2"/>
        </w:numPr>
        <w:spacing w:after="40" w:before="40"/>
        <w:ind w:left="720" w:hanging="360"/>
      </w:pPr>
      <w:r>
        <w:rPr>
          <w:rFonts w:ascii="Arial" w:cs="Arial" w:eastAsia="Arial" w:hAnsi="Arial"/>
          <w:color w:val="2C2C2A"/>
          <w:sz w:val="22"/>
          <w:szCs w:val="22"/>
        </w:rPr>
        <w:t xml:space="preserve">No builds without mockup approval first — ever</w:t>
      </w:r>
    </w:p>
    <w:p>
      <w:pPr>
        <w:pStyle w:val="ListParagraph"/>
        <w:numPr>
          <w:ilvl w:val="0"/>
          <w:numId w:val="2"/>
        </w:numPr>
        <w:spacing w:after="40" w:before="40"/>
        <w:ind w:left="720" w:hanging="360"/>
      </w:pPr>
      <w:r>
        <w:rPr>
          <w:rFonts w:ascii="Arial" w:cs="Arial" w:eastAsia="Arial" w:hAnsi="Arial"/>
          <w:color w:val="2C2C2A"/>
          <w:sz w:val="22"/>
          <w:szCs w:val="22"/>
        </w:rPr>
        <w:t xml:space="preserve">Always use --clear-cache flag on every EAS build</w:t>
      </w:r>
    </w:p>
    <w:p>
      <w:pPr>
        <w:pStyle w:val="ListParagraph"/>
        <w:numPr>
          <w:ilvl w:val="0"/>
          <w:numId w:val="2"/>
        </w:numPr>
        <w:spacing w:after="40" w:before="40"/>
        <w:ind w:left="720" w:hanging="360"/>
      </w:pPr>
      <w:r>
        <w:rPr>
          <w:rFonts w:ascii="Arial" w:cs="Arial" w:eastAsia="Arial" w:hAnsi="Arial"/>
          <w:color w:val="2C2C2A"/>
          <w:sz w:val="22"/>
          <w:szCs w:val="22"/>
        </w:rPr>
        <w:t xml:space="preserve">Run npx expo export --platform android locally before any EAS build</w:t>
      </w:r>
    </w:p>
    <w:p>
      <w:pPr>
        <w:pStyle w:val="ListParagraph"/>
        <w:numPr>
          <w:ilvl w:val="0"/>
          <w:numId w:val="2"/>
        </w:numPr>
        <w:spacing w:after="40" w:before="40"/>
        <w:ind w:left="720" w:hanging="360"/>
      </w:pPr>
      <w:r>
        <w:rPr>
          <w:rFonts w:ascii="Arial" w:cs="Arial" w:eastAsia="Arial" w:hAnsi="Arial"/>
          <w:color w:val="2C2C2A"/>
          <w:sz w:val="22"/>
          <w:szCs w:val="22"/>
        </w:rPr>
        <w:t xml:space="preserve">No patches — only complete file rewrites</w:t>
      </w:r>
    </w:p>
    <w:p>
      <w:pPr>
        <w:pStyle w:val="ListParagraph"/>
        <w:numPr>
          <w:ilvl w:val="0"/>
          <w:numId w:val="2"/>
        </w:numPr>
        <w:spacing w:after="40" w:before="40"/>
        <w:ind w:left="720" w:hanging="360"/>
      </w:pPr>
      <w:r>
        <w:rPr>
          <w:rFonts w:ascii="Arial" w:cs="Arial" w:eastAsia="Arial" w:hAnsi="Arial"/>
          <w:color w:val="2C2C2A"/>
          <w:sz w:val="22"/>
          <w:szCs w:val="22"/>
        </w:rPr>
        <w:t xml:space="preserve">EAS always builds from committed repo code — commit before every build</w:t>
      </w:r>
    </w:p>
    <w:p>
      <w:pPr>
        <w:pStyle w:val="ListParagraph"/>
        <w:numPr>
          <w:ilvl w:val="0"/>
          <w:numId w:val="2"/>
        </w:numPr>
        <w:spacing w:after="40" w:before="40"/>
        <w:ind w:left="720" w:hanging="360"/>
      </w:pPr>
      <w:r>
        <w:rPr>
          <w:rFonts w:ascii="Arial" w:cs="Arial" w:eastAsia="Arial" w:hAnsi="Arial"/>
          <w:color w:val="2C2C2A"/>
          <w:sz w:val="22"/>
          <w:szCs w:val="22"/>
        </w:rPr>
        <w:t xml:space="preserve">Python is permanently banned from writing .tsx or .jsx files</w:t>
      </w:r>
    </w:p>
    <w:p>
      <w:pPr>
        <w:pStyle w:val="ListParagraph"/>
        <w:numPr>
          <w:ilvl w:val="0"/>
          <w:numId w:val="2"/>
        </w:numPr>
        <w:spacing w:after="40" w:before="40"/>
        <w:ind w:left="720" w:hanging="360"/>
      </w:pPr>
      <w:r>
        <w:rPr>
          <w:rFonts w:ascii="Arial" w:cs="Arial" w:eastAsia="Arial" w:hAnsi="Arial"/>
          <w:color w:val="2C2C2A"/>
          <w:sz w:val="22"/>
          <w:szCs w:val="22"/>
        </w:rPr>
        <w:t xml:space="preserve">Cursor is permanently banned from the workflow</w:t>
      </w:r>
    </w:p>
    <w:p>
      <w:pPr>
        <w:pStyle w:val="ListParagraph"/>
        <w:numPr>
          <w:ilvl w:val="0"/>
          <w:numId w:val="2"/>
        </w:numPr>
        <w:spacing w:after="40" w:before="40"/>
        <w:ind w:left="720" w:hanging="360"/>
      </w:pPr>
      <w:r>
        <w:rPr>
          <w:rFonts w:ascii="Arial" w:cs="Arial" w:eastAsia="Arial" w:hAnsi="Arial"/>
          <w:color w:val="2C2C2A"/>
          <w:sz w:val="22"/>
          <w:szCs w:val="22"/>
        </w:rPr>
        <w:t xml:space="preserve">create_file tool is the only reliable method for TypeScript/JSX delivery</w:t>
      </w:r>
    </w:p>
    <w:p>
      <w:pPr>
        <w:pBdr>
          <w:bottom w:val="single" w:color="C49A2A" w:sz="4" w:space="1"/>
        </w:pBdr>
        <w:spacing w:after="160" w:before="160"/>
      </w:pPr>
      <w:r>
        <w:t xml:space="preserve"/>
      </w:r>
    </w:p>
    <w:p>
      <w:pPr>
        <w:pStyle w:val="Heading1"/>
        <w:spacing w:after="160" w:before="320"/>
      </w:pPr>
      <w:r>
        <w:rPr>
          <w:rFonts w:ascii="Arial" w:cs="Arial" w:eastAsia="Arial" w:hAnsi="Arial"/>
          <w:b/>
          <w:bCs/>
          <w:color w:val="0A0804"/>
          <w:sz w:val="36"/>
          <w:szCs w:val="36"/>
        </w:rPr>
        <w:t xml:space="preserve">Section 9 · Pending Build Sequence</w:t>
      </w:r>
    </w:p>
    <w:p>
      <w:pPr>
        <w:spacing w:after="60" w:before="60"/>
      </w:pPr>
      <w:r>
        <w:t xml:space="preserve"/>
      </w:r>
    </w:p>
    <w:p>
      <w:pPr>
        <w:pStyle w:val="Heading2"/>
        <w:spacing w:after="120" w:before="240"/>
      </w:pPr>
      <w:r>
        <w:rPr>
          <w:rFonts w:ascii="Arial" w:cs="Arial" w:eastAsia="Arial" w:hAnsi="Arial"/>
          <w:b/>
          <w:bCs/>
          <w:color w:val="0A0804"/>
          <w:sz w:val="28"/>
          <w:szCs w:val="28"/>
        </w:rPr>
        <w:t xml:space="preserve">9.1 · Immediate</w:t>
      </w:r>
    </w:p>
    <w:p>
      <w:pPr>
        <w:pStyle w:val="ListParagraph"/>
        <w:numPr>
          <w:ilvl w:val="0"/>
          <w:numId w:val="2"/>
        </w:numPr>
        <w:spacing w:after="40" w:before="40"/>
        <w:ind w:left="720" w:hanging="360"/>
      </w:pPr>
      <w:r>
        <w:rPr>
          <w:rFonts w:ascii="Arial" w:cs="Arial" w:eastAsia="Arial" w:hAnsi="Arial"/>
          <w:color w:val="2C2C2A"/>
          <w:sz w:val="22"/>
          <w:szCs w:val="22"/>
        </w:rPr>
        <w:t xml:space="preserve">onboarding.tsx complete rewrite — keyboard fix, auth session, Oura token, session resume</w:t>
      </w:r>
    </w:p>
    <w:p>
      <w:pPr>
        <w:pStyle w:val="ListParagraph"/>
        <w:numPr>
          <w:ilvl w:val="0"/>
          <w:numId w:val="2"/>
        </w:numPr>
        <w:spacing w:after="40" w:before="40"/>
        <w:ind w:left="720" w:hanging="360"/>
      </w:pPr>
      <w:r>
        <w:rPr>
          <w:rFonts w:ascii="Arial" w:cs="Arial" w:eastAsia="Arial" w:hAnsi="Arial"/>
          <w:color w:val="2C2C2A"/>
          <w:sz w:val="22"/>
          <w:szCs w:val="22"/>
        </w:rPr>
        <w:t xml:space="preserve">Confirm onboarding.tsx committed to GitHub repo (file was never pushed)</w:t>
      </w:r>
    </w:p>
    <w:p>
      <w:pPr>
        <w:pStyle w:val="ListParagraph"/>
        <w:numPr>
          <w:ilvl w:val="0"/>
          <w:numId w:val="2"/>
        </w:numPr>
        <w:spacing w:after="40" w:before="40"/>
        <w:ind w:left="720" w:hanging="360"/>
      </w:pPr>
      <w:r>
        <w:rPr>
          <w:rFonts w:ascii="Arial" w:cs="Arial" w:eastAsia="Arial" w:hAnsi="Arial"/>
          <w:color w:val="2C2C2A"/>
          <w:sz w:val="22"/>
          <w:szCs w:val="22"/>
        </w:rPr>
        <w:t xml:space="preserve">Verify APK installs clean and Supabase scan rows writing correctly</w:t>
      </w:r>
    </w:p>
    <w:p>
      <w:pPr>
        <w:pStyle w:val="ListParagraph"/>
        <w:numPr>
          <w:ilvl w:val="0"/>
          <w:numId w:val="2"/>
        </w:numPr>
        <w:spacing w:after="40" w:before="40"/>
        <w:ind w:left="720" w:hanging="360"/>
      </w:pPr>
      <w:r>
        <w:rPr>
          <w:rFonts w:ascii="Arial" w:cs="Arial" w:eastAsia="Arial" w:hAnsi="Arial"/>
          <w:color w:val="2C2C2A"/>
          <w:sz w:val="22"/>
          <w:szCs w:val="22"/>
        </w:rPr>
        <w:t xml:space="preserve">Wire Act Right Dollars</w:t>
      </w:r>
    </w:p>
    <w:p>
      <w:pPr>
        <w:spacing w:after="60" w:before="60"/>
      </w:pPr>
      <w:r>
        <w:t xml:space="preserve"/>
      </w:r>
    </w:p>
    <w:p>
      <w:pPr>
        <w:pStyle w:val="Heading2"/>
        <w:spacing w:after="120" w:before="240"/>
      </w:pPr>
      <w:r>
        <w:rPr>
          <w:rFonts w:ascii="Arial" w:cs="Arial" w:eastAsia="Arial" w:hAnsi="Arial"/>
          <w:b/>
          <w:bCs/>
          <w:color w:val="0A0804"/>
          <w:sz w:val="28"/>
          <w:szCs w:val="28"/>
        </w:rPr>
        <w:t xml:space="preserve">9.2 · Next Build Phase</w:t>
      </w:r>
    </w:p>
    <w:p>
      <w:pPr>
        <w:pStyle w:val="ListParagraph"/>
        <w:numPr>
          <w:ilvl w:val="0"/>
          <w:numId w:val="2"/>
        </w:numPr>
        <w:spacing w:after="40" w:before="40"/>
        <w:ind w:left="720" w:hanging="360"/>
      </w:pPr>
      <w:r>
        <w:rPr>
          <w:rFonts w:ascii="Arial" w:cs="Arial" w:eastAsia="Arial" w:hAnsi="Arial"/>
          <w:color w:val="2C2C2A"/>
          <w:sz w:val="22"/>
          <w:szCs w:val="22"/>
        </w:rPr>
        <w:t xml:space="preserve">Build Allergy &amp; Life Scanner layer</w:t>
      </w:r>
    </w:p>
    <w:p>
      <w:pPr>
        <w:pStyle w:val="ListParagraph"/>
        <w:numPr>
          <w:ilvl w:val="0"/>
          <w:numId w:val="2"/>
        </w:numPr>
        <w:spacing w:after="40" w:before="40"/>
        <w:ind w:left="720" w:hanging="360"/>
      </w:pPr>
      <w:r>
        <w:rPr>
          <w:rFonts w:ascii="Arial" w:cs="Arial" w:eastAsia="Arial" w:hAnsi="Arial"/>
          <w:color w:val="2C2C2A"/>
          <w:sz w:val="22"/>
          <w:szCs w:val="22"/>
        </w:rPr>
        <w:t xml:space="preserve">Build personal-care-scan.tsx</w:t>
      </w:r>
    </w:p>
    <w:p>
      <w:pPr>
        <w:pStyle w:val="ListParagraph"/>
        <w:numPr>
          <w:ilvl w:val="0"/>
          <w:numId w:val="2"/>
        </w:numPr>
        <w:spacing w:after="40" w:before="40"/>
        <w:ind w:left="720" w:hanging="360"/>
      </w:pPr>
      <w:r>
        <w:rPr>
          <w:rFonts w:ascii="Arial" w:cs="Arial" w:eastAsia="Arial" w:hAnsi="Arial"/>
          <w:color w:val="2C2C2A"/>
          <w:sz w:val="22"/>
          <w:szCs w:val="22"/>
        </w:rPr>
        <w:t xml:space="preserve">Build grid-map.tsx (ON GRID / OFF GRID Chauffeur map)</w:t>
      </w:r>
    </w:p>
    <w:p>
      <w:pPr>
        <w:pStyle w:val="ListParagraph"/>
        <w:numPr>
          <w:ilvl w:val="0"/>
          <w:numId w:val="2"/>
        </w:numPr>
        <w:spacing w:after="40" w:before="40"/>
        <w:ind w:left="720" w:hanging="360"/>
      </w:pPr>
      <w:r>
        <w:rPr>
          <w:rFonts w:ascii="Arial" w:cs="Arial" w:eastAsia="Arial" w:hAnsi="Arial"/>
          <w:color w:val="2C2C2A"/>
          <w:sz w:val="22"/>
          <w:szCs w:val="22"/>
        </w:rPr>
        <w:t xml:space="preserve">Wire Chauffeur map images into map.tsx</w:t>
      </w:r>
    </w:p>
    <w:p>
      <w:pPr>
        <w:pStyle w:val="ListParagraph"/>
        <w:numPr>
          <w:ilvl w:val="0"/>
          <w:numId w:val="2"/>
        </w:numPr>
        <w:spacing w:after="40" w:before="40"/>
        <w:ind w:left="720" w:hanging="360"/>
      </w:pPr>
      <w:r>
        <w:rPr>
          <w:rFonts w:ascii="Arial" w:cs="Arial" w:eastAsia="Arial" w:hAnsi="Arial"/>
          <w:color w:val="2C2C2A"/>
          <w:sz w:val="22"/>
          <w:szCs w:val="22"/>
        </w:rPr>
        <w:t xml:space="preserve">Build Apothecary tab (Spoke 34) — standalone + Chef inner tab + map layer</w:t>
      </w:r>
    </w:p>
    <w:p>
      <w:pPr>
        <w:pStyle w:val="ListParagraph"/>
        <w:numPr>
          <w:ilvl w:val="0"/>
          <w:numId w:val="2"/>
        </w:numPr>
        <w:spacing w:after="40" w:before="40"/>
        <w:ind w:left="720" w:hanging="360"/>
      </w:pPr>
      <w:r>
        <w:rPr>
          <w:rFonts w:ascii="Arial" w:cs="Arial" w:eastAsia="Arial" w:hAnsi="Arial"/>
          <w:color w:val="2C2C2A"/>
          <w:sz w:val="22"/>
          <w:szCs w:val="22"/>
        </w:rPr>
        <w:t xml:space="preserve">Build Forager tab (Spoke 35)</w:t>
      </w:r>
    </w:p>
    <w:p>
      <w:pPr>
        <w:spacing w:after="60" w:before="60"/>
      </w:pPr>
      <w:r>
        <w:t xml:space="preserve"/>
      </w:r>
    </w:p>
    <w:p>
      <w:pPr>
        <w:pStyle w:val="Heading2"/>
        <w:spacing w:after="120" w:before="240"/>
      </w:pPr>
      <w:r>
        <w:rPr>
          <w:rFonts w:ascii="Arial" w:cs="Arial" w:eastAsia="Arial" w:hAnsi="Arial"/>
          <w:b/>
          <w:bCs/>
          <w:color w:val="0A0804"/>
          <w:sz w:val="28"/>
          <w:szCs w:val="28"/>
        </w:rPr>
        <w:t xml:space="preserve">9.3 · Infrastructure Pending</w:t>
      </w:r>
    </w:p>
    <w:p>
      <w:pPr>
        <w:pStyle w:val="ListParagraph"/>
        <w:numPr>
          <w:ilvl w:val="0"/>
          <w:numId w:val="2"/>
        </w:numPr>
        <w:spacing w:after="40" w:before="40"/>
        <w:ind w:left="720" w:hanging="360"/>
      </w:pPr>
      <w:r>
        <w:rPr>
          <w:rFonts w:ascii="Arial" w:cs="Arial" w:eastAsia="Arial" w:hAnsi="Arial"/>
          <w:color w:val="2C2C2A"/>
          <w:sz w:val="22"/>
          <w:szCs w:val="22"/>
        </w:rPr>
        <w:t xml:space="preserve">Enable Google Maps Places API, Maps SDK for Android, Geolocation API in Google Cloud Console</w:t>
      </w:r>
    </w:p>
    <w:p>
      <w:pPr>
        <w:pStyle w:val="ListParagraph"/>
        <w:numPr>
          <w:ilvl w:val="0"/>
          <w:numId w:val="2"/>
        </w:numPr>
        <w:spacing w:after="40" w:before="40"/>
        <w:ind w:left="720" w:hanging="360"/>
      </w:pPr>
      <w:r>
        <w:rPr>
          <w:rFonts w:ascii="Arial" w:cs="Arial" w:eastAsia="Arial" w:hAnsi="Arial"/>
          <w:color w:val="2C2C2A"/>
          <w:sz w:val="22"/>
          <w:szCs w:val="22"/>
        </w:rPr>
        <w:t xml:space="preserve">Enroll Apple Developer account for standalone iOS builds</w:t>
      </w:r>
    </w:p>
    <w:p>
      <w:pPr>
        <w:pStyle w:val="ListParagraph"/>
        <w:numPr>
          <w:ilvl w:val="0"/>
          <w:numId w:val="2"/>
        </w:numPr>
        <w:spacing w:after="40" w:before="40"/>
        <w:ind w:left="720" w:hanging="360"/>
      </w:pPr>
      <w:r>
        <w:rPr>
          <w:rFonts w:ascii="Arial" w:cs="Arial" w:eastAsia="Arial" w:hAnsi="Arial"/>
          <w:color w:val="2C2C2A"/>
          <w:sz w:val="22"/>
          <w:szCs w:val="22"/>
        </w:rPr>
        <w:t xml:space="preserve">File provisional patent — unified system filing — contact ARIFA (mdelbusto@arifa.com)</w:t>
      </w:r>
    </w:p>
    <w:p>
      <w:pPr>
        <w:pStyle w:val="ListParagraph"/>
        <w:numPr>
          <w:ilvl w:val="0"/>
          <w:numId w:val="2"/>
        </w:numPr>
        <w:spacing w:after="40" w:before="40"/>
        <w:ind w:left="720" w:hanging="360"/>
      </w:pPr>
      <w:r>
        <w:rPr>
          <w:rFonts w:ascii="Arial" w:cs="Arial" w:eastAsia="Arial" w:hAnsi="Arial"/>
          <w:color w:val="2C2C2A"/>
          <w:sz w:val="22"/>
          <w:szCs w:val="22"/>
        </w:rPr>
        <w:t xml:space="preserve">Terra API deferred until 3+ members ($499/month at tryterra.co)</w:t>
      </w:r>
    </w:p>
    <w:p>
      <w:pPr>
        <w:pBdr>
          <w:bottom w:val="single" w:color="C49A2A" w:sz="4" w:space="1"/>
        </w:pBdr>
        <w:spacing w:after="160" w:before="160"/>
      </w:pPr>
      <w:r>
        <w:t xml:space="preserve"/>
      </w:r>
    </w:p>
    <w:p>
      <w:pPr>
        <w:pStyle w:val="Heading1"/>
        <w:spacing w:after="160" w:before="320"/>
      </w:pPr>
      <w:r>
        <w:rPr>
          <w:rFonts w:ascii="Arial" w:cs="Arial" w:eastAsia="Arial" w:hAnsi="Arial"/>
          <w:b/>
          <w:bCs/>
          <w:color w:val="0A0804"/>
          <w:sz w:val="36"/>
          <w:szCs w:val="36"/>
        </w:rPr>
        <w:t xml:space="preserve">Section 10 · Permanent Locks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AF7F2" w:val="clear"/>
            <w:tcMar>
              <w:top w:type="dxa" w:w="120"/>
              <w:left w:type="dxa" w:w="180"/>
              <w:bottom w:type="dxa" w:w="120"/>
              <w:right w:type="dxa" w:w="180"/>
            </w:tcMar>
          </w:tcPr>
          <w:p>
            <w:pPr>
              <w:spacing w:after="80" w:before="40"/>
            </w:pPr>
            <w:r>
              <w:rPr>
                <w:rFonts w:ascii="Arial" w:cs="Arial" w:eastAsia="Arial" w:hAnsi="Arial"/>
                <w:b/>
                <w:bCs/>
                <w:color w:val="C49A2A"/>
                <w:sz w:val="20"/>
                <w:szCs w:val="20"/>
              </w:rPr>
              <w:t xml:space="preserve">The Concierge Lock</w:t>
            </w:r>
          </w:p>
          <w:p>
            <w:pPr>
              <w:spacing w:after="40" w:before="0"/>
            </w:pPr>
            <w:r>
              <w:rPr>
                <w:rFonts w:ascii="Arial" w:cs="Arial" w:eastAsia="Arial" w:hAnsi="Arial"/>
                <w:color w:val="2C2C2A"/>
                <w:sz w:val="20"/>
                <w:szCs w:val="20"/>
              </w:rPr>
              <w:t xml:space="preserve">The intelligence is called "The Concierge" — NEVER "Javier" in app, mockups, code, or any output. Javier is one of six personality choices only: Javier, Coach, Role-Split, Stable, COMMAND, THE BRIEF.</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AF7F2" w:val="clear"/>
            <w:tcMar>
              <w:top w:type="dxa" w:w="120"/>
              <w:left w:type="dxa" w:w="180"/>
              <w:bottom w:type="dxa" w:w="120"/>
              <w:right w:type="dxa" w:w="180"/>
            </w:tcMar>
          </w:tcPr>
          <w:p>
            <w:pPr>
              <w:spacing w:after="80" w:before="40"/>
            </w:pPr>
            <w:r>
              <w:rPr>
                <w:rFonts w:ascii="Arial" w:cs="Arial" w:eastAsia="Arial" w:hAnsi="Arial"/>
                <w:b/>
                <w:bCs/>
                <w:color w:val="C49A2A"/>
                <w:sz w:val="20"/>
                <w:szCs w:val="20"/>
              </w:rPr>
              <w:t xml:space="preserve">S.C.A.N. Acronym Lock</w:t>
            </w:r>
          </w:p>
          <w:p>
            <w:pPr>
              <w:spacing w:after="40" w:before="0"/>
            </w:pPr>
            <w:r>
              <w:rPr>
                <w:rFonts w:ascii="Arial" w:cs="Arial" w:eastAsia="Arial" w:hAnsi="Arial"/>
                <w:color w:val="2C2C2A"/>
                <w:sz w:val="20"/>
                <w:szCs w:val="20"/>
              </w:rPr>
              <w:t xml:space="preserve">S.C.A.N. = Safety Clarifier Adaptive Nerve. This is the official expanded name. Never use another definition. Applies across all tabs.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AF7F2" w:val="clear"/>
            <w:tcMar>
              <w:top w:type="dxa" w:w="120"/>
              <w:left w:type="dxa" w:w="180"/>
              <w:bottom w:type="dxa" w:w="120"/>
              <w:right w:type="dxa" w:w="180"/>
            </w:tcMar>
          </w:tcPr>
          <w:p>
            <w:pPr>
              <w:spacing w:after="80" w:before="40"/>
            </w:pPr>
            <w:r>
              <w:rPr>
                <w:rFonts w:ascii="Arial" w:cs="Arial" w:eastAsia="Arial" w:hAnsi="Arial"/>
                <w:b/>
                <w:bCs/>
                <w:color w:val="C49A2A"/>
                <w:sz w:val="20"/>
                <w:szCs w:val="20"/>
              </w:rPr>
              <w:t xml:space="preserve">Python Ban</w:t>
            </w:r>
          </w:p>
          <w:p>
            <w:pPr>
              <w:spacing w:after="40" w:before="0"/>
            </w:pPr>
            <w:r>
              <w:rPr>
                <w:rFonts w:ascii="Arial" w:cs="Arial" w:eastAsia="Arial" w:hAnsi="Arial"/>
                <w:color w:val="2C2C2A"/>
                <w:sz w:val="20"/>
                <w:szCs w:val="20"/>
              </w:rPr>
              <w:t xml:space="preserve">Python is permanently banned from writing .tsx or .jsx files. Python's .format() method treats every { and } in JSX as a format placeholder and corrupts the file.</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AF7F2" w:val="clear"/>
            <w:tcMar>
              <w:top w:type="dxa" w:w="120"/>
              <w:left w:type="dxa" w:w="180"/>
              <w:bottom w:type="dxa" w:w="120"/>
              <w:right w:type="dxa" w:w="180"/>
            </w:tcMar>
          </w:tcPr>
          <w:p>
            <w:pPr>
              <w:spacing w:after="80" w:before="40"/>
            </w:pPr>
            <w:r>
              <w:rPr>
                <w:rFonts w:ascii="Arial" w:cs="Arial" w:eastAsia="Arial" w:hAnsi="Arial"/>
                <w:b/>
                <w:bCs/>
                <w:color w:val="C49A2A"/>
                <w:sz w:val="20"/>
                <w:szCs w:val="20"/>
              </w:rPr>
              <w:t xml:space="preserve">Cursor Ban</w:t>
            </w:r>
          </w:p>
          <w:p>
            <w:pPr>
              <w:spacing w:after="40" w:before="0"/>
            </w:pPr>
            <w:r>
              <w:rPr>
                <w:rFonts w:ascii="Arial" w:cs="Arial" w:eastAsia="Arial" w:hAnsi="Arial"/>
                <w:color w:val="2C2C2A"/>
                <w:sz w:val="20"/>
                <w:szCs w:val="20"/>
              </w:rPr>
              <w:t xml:space="preserve">Cursor is permanently banned from the workflow. All code changes go through Mac terminal only.</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AF7F2" w:val="clear"/>
            <w:tcMar>
              <w:top w:type="dxa" w:w="120"/>
              <w:left w:type="dxa" w:w="180"/>
              <w:bottom w:type="dxa" w:w="120"/>
              <w:right w:type="dxa" w:w="180"/>
            </w:tcMar>
          </w:tcPr>
          <w:p>
            <w:pPr>
              <w:spacing w:after="80" w:before="40"/>
            </w:pPr>
            <w:r>
              <w:rPr>
                <w:rFonts w:ascii="Arial" w:cs="Arial" w:eastAsia="Arial" w:hAnsi="Arial"/>
                <w:b/>
                <w:bCs/>
                <w:color w:val="C49A2A"/>
                <w:sz w:val="20"/>
                <w:szCs w:val="20"/>
              </w:rPr>
              <w:t xml:space="preserve">Source Confidentiality</w:t>
            </w:r>
          </w:p>
          <w:p>
            <w:pPr>
              <w:spacing w:after="40" w:before="0"/>
            </w:pPr>
            <w:r>
              <w:rPr>
                <w:rFonts w:ascii="Arial" w:cs="Arial" w:eastAsia="Arial" w:hAnsi="Arial"/>
                <w:color w:val="2C2C2A"/>
                <w:sz w:val="20"/>
                <w:szCs w:val="20"/>
              </w:rPr>
              <w:t xml:space="preserve">Database source names must never be displayed in the UI — internal only. Intelligence names must never appear in scan results after onboarding — only color-coded glow cards.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AF7F2" w:val="clear"/>
            <w:tcMar>
              <w:top w:type="dxa" w:w="120"/>
              <w:left w:type="dxa" w:w="180"/>
              <w:bottom w:type="dxa" w:w="120"/>
              <w:right w:type="dxa" w:w="180"/>
            </w:tcMar>
          </w:tcPr>
          <w:p>
            <w:pPr>
              <w:spacing w:after="80" w:before="40"/>
            </w:pPr>
            <w:r>
              <w:rPr>
                <w:rFonts w:ascii="Arial" w:cs="Arial" w:eastAsia="Arial" w:hAnsi="Arial"/>
                <w:b/>
                <w:bCs/>
                <w:color w:val="C49A2A"/>
                <w:sz w:val="20"/>
                <w:szCs w:val="20"/>
              </w:rPr>
              <w:t xml:space="preserve">Mythology Bleed Ban</w:t>
            </w:r>
          </w:p>
          <w:p>
            <w:pPr>
              <w:spacing w:after="40" w:before="0"/>
            </w:pPr>
            <w:r>
              <w:rPr>
                <w:rFonts w:ascii="Arial" w:cs="Arial" w:eastAsia="Arial" w:hAnsi="Arial"/>
                <w:color w:val="2C2C2A"/>
                <w:sz w:val="20"/>
                <w:szCs w:val="20"/>
              </w:rPr>
              <w:t xml:space="preserve">Heimdall, Kybalion references, and Three Pillars content never appear in forward-facing output. Internal doctrine only.</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AF7F2" w:val="clear"/>
            <w:tcMar>
              <w:top w:type="dxa" w:w="120"/>
              <w:left w:type="dxa" w:w="180"/>
              <w:bottom w:type="dxa" w:w="120"/>
              <w:right w:type="dxa" w:w="180"/>
            </w:tcMar>
          </w:tcPr>
          <w:p>
            <w:pPr>
              <w:spacing w:after="80" w:before="40"/>
            </w:pPr>
            <w:r>
              <w:rPr>
                <w:rFonts w:ascii="Arial" w:cs="Arial" w:eastAsia="Arial" w:hAnsi="Arial"/>
                <w:b/>
                <w:bCs/>
                <w:color w:val="C49A2A"/>
                <w:sz w:val="20"/>
                <w:szCs w:val="20"/>
              </w:rPr>
              <w:t xml:space="preserve">No Suggestions Without URLs</w:t>
            </w:r>
          </w:p>
          <w:p>
            <w:pPr>
              <w:spacing w:after="40" w:before="0"/>
            </w:pPr>
            <w:r>
              <w:rPr>
                <w:rFonts w:ascii="Arial" w:cs="Arial" w:eastAsia="Arial" w:hAnsi="Arial"/>
                <w:color w:val="2C2C2A"/>
                <w:sz w:val="20"/>
                <w:szCs w:val="20"/>
              </w:rPr>
              <w:t xml:space="preserve">Never make suggestions involving external tools, services, or platforms without providing the exact verified URL and price. If no verified URL and price can be provided, do not make the suggestion.</w:t>
            </w:r>
          </w:p>
        </w:tc>
      </w:tr>
    </w:tbl>
    <w:p>
      <w:pPr>
        <w:spacing w:after="60" w:before="60"/>
      </w:pPr>
      <w:r>
        <w:t xml:space="preserve"/>
      </w:r>
    </w:p>
    <w:p>
      <w:pPr>
        <w:pBdr>
          <w:bottom w:val="single" w:color="C49A2A" w:sz="4" w:space="1"/>
        </w:pBdr>
        <w:spacing w:after="160" w:before="160"/>
      </w:pPr>
      <w:r>
        <w:t xml:space="preserve"/>
      </w:r>
    </w:p>
    <w:p>
      <w:pPr>
        <w:spacing w:after="80" w:before="320"/>
        <w:jc w:val="center"/>
      </w:pPr>
      <w:r>
        <w:rPr>
          <w:rFonts w:ascii="Arial" w:cs="Arial" w:eastAsia="Arial" w:hAnsi="Arial"/>
          <w:b/>
          <w:bCs/>
          <w:color w:val="C49A2A"/>
          <w:sz w:val="24"/>
          <w:szCs w:val="24"/>
        </w:rPr>
        <w:t xml:space="preserve">CANON v36 — SEALED</w:t>
      </w:r>
    </w:p>
    <w:p>
      <w:pPr>
        <w:spacing w:after="80" w:before="0"/>
        <w:jc w:val="center"/>
      </w:pPr>
      <w:r>
        <w:rPr>
          <w:rFonts w:ascii="Arial" w:cs="Arial" w:eastAsia="Arial" w:hAnsi="Arial"/>
          <w:color w:val="888780"/>
          <w:sz w:val="20"/>
          <w:szCs w:val="20"/>
        </w:rPr>
        <w:t xml:space="preserve">James R. Pitts II · Founder · AA2 Adaptive Advantage Laboratories, S.A.</w:t>
      </w:r>
    </w:p>
    <w:p>
      <w:pPr>
        <w:spacing w:after="80" w:before="0"/>
        <w:jc w:val="center"/>
      </w:pPr>
      <w:r>
        <w:rPr>
          <w:rFonts w:ascii="Arial" w:cs="Arial" w:eastAsia="Arial" w:hAnsi="Arial"/>
          <w:i/>
          <w:iCs/>
          <w:color w:val="888780"/>
          <w:sz w:val="20"/>
          <w:szCs w:val="20"/>
        </w:rPr>
        <w:t xml:space="preserve">Applied Biosignal Scientist · Field Creator of Applied Biosignal Science (ABS)</w:t>
      </w:r>
    </w:p>
    <w:p>
      <w:pPr>
        <w:spacing w:after="80" w:before="0"/>
        <w:jc w:val="center"/>
      </w:pPr>
      <w:r>
        <w:rPr>
          <w:rFonts w:ascii="Arial" w:cs="Arial" w:eastAsia="Arial" w:hAnsi="Arial"/>
          <w:color w:val="B4B2A9"/>
          <w:sz w:val="18"/>
          <w:szCs w:val="18"/>
        </w:rPr>
        <w:t xml:space="preserve">April 2026 · Panama</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sz w:val="36"/>
      <w:szCs w:val="36"/>
    </w:rPr>
  </w:style>
  <w:style w:type="paragraph" w:styleId="Heading2">
    <w:name w:val="Heading 2"/>
    <w:basedOn w:val="Normal"/>
    <w:next w:val="Normal"/>
    <w:qFormat/>
    <w:pPr>
      <w:spacing w:after="120" w:before="240"/>
      <w:outlineLvl w:val="1"/>
    </w:pPr>
    <w:rPr>
      <w:rFonts w:ascii="Arial" w:cs="Arial" w:eastAsia="Arial" w:hAnsi="Arial"/>
      <w:b/>
      <w:bCs/>
      <w:sz w:val="28"/>
      <w:szCs w:val="28"/>
    </w:rPr>
  </w:style>
  <w:style w:type="paragraph" w:styleId="Heading3">
    <w:name w:val="Heading 3"/>
    <w:basedOn w:val="Normal"/>
    <w:next w:val="Normal"/>
    <w:qFormat/>
    <w:pPr>
      <w:spacing w:after="80" w:before="18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2026-04-05T22:13:48.611Z</dcterms:created>
  <dcterms:modified xsi:type="dcterms:W3CDTF">2026-04-05T22:13:48.612Z</dcterms:modified>
</cp:coreProperties>
</file>

<file path=docProps/custom.xml><?xml version="1.0" encoding="utf-8"?>
<Properties xmlns="http://schemas.openxmlformats.org/officeDocument/2006/custom-properties" xmlns:vt="http://schemas.openxmlformats.org/officeDocument/2006/docPropsVTypes"/>
</file>