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6103" w14:textId="3ACAF03E" w:rsidR="00411E8F" w:rsidRPr="00411E8F" w:rsidRDefault="00411E8F" w:rsidP="00411E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 Immanuel, here's an update on Gen2X features on FX/ATR </w:t>
      </w:r>
    </w:p>
    <w:p w14:paraId="5F4370FA" w14:textId="77777777" w:rsidR="00411E8F" w:rsidRPr="00411E8F" w:rsidRDefault="00411E8F" w:rsidP="00411E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FX7500 and 9600 </w:t>
      </w:r>
      <w:proofErr w:type="gramStart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supports</w:t>
      </w:r>
      <w:proofErr w:type="gramEnd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 5 features: protected mode, </w:t>
      </w:r>
      <w:proofErr w:type="spellStart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fastID</w:t>
      </w:r>
      <w:proofErr w:type="spellEnd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TagFocus</w:t>
      </w:r>
      <w:proofErr w:type="spellEnd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Tag Quieting</w:t>
      </w:r>
      <w:proofErr w:type="gramStart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performance</w:t>
      </w:r>
      <w:proofErr w:type="gramEnd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features</w:t>
      </w:r>
    </w:p>
    <w:p w14:paraId="395217AA" w14:textId="77777777" w:rsidR="00411E8F" w:rsidRPr="00411E8F" w:rsidRDefault="00411E8F" w:rsidP="00411E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ATR supports </w:t>
      </w:r>
      <w:proofErr w:type="spellStart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fastID</w:t>
      </w:r>
      <w:proofErr w:type="spellEnd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TagFocus</w:t>
      </w:r>
      <w:proofErr w:type="spellEnd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Tag Quieting, performance features; </w:t>
      </w:r>
    </w:p>
    <w:p w14:paraId="1D629D5E" w14:textId="77777777" w:rsidR="00411E8F" w:rsidRPr="00411E8F" w:rsidRDefault="00411E8F" w:rsidP="00411E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Protected mode is not supported</w:t>
      </w:r>
    </w:p>
    <w:p w14:paraId="6B3BD2FF" w14:textId="77777777" w:rsidR="00411E8F" w:rsidRPr="00411E8F" w:rsidRDefault="00411E8F" w:rsidP="00411E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 ATR Portal directionality mode, gen2X features cannot be applied</w:t>
      </w:r>
    </w:p>
    <w:p w14:paraId="711A7526" w14:textId="77777777" w:rsidR="00411E8F" w:rsidRPr="00411E8F" w:rsidRDefault="00411E8F" w:rsidP="00411E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1F0D1E08" w14:textId="77777777" w:rsidR="00411E8F" w:rsidRPr="00411E8F" w:rsidRDefault="00411E8F" w:rsidP="00411E8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1E8F">
        <w:rPr>
          <w:rFonts w:ascii="Segoe UI" w:eastAsia="Times New Roman" w:hAnsi="Segoe UI" w:cs="Segoe UI"/>
          <w:noProof/>
          <w:kern w:val="0"/>
          <w:sz w:val="21"/>
          <w:szCs w:val="21"/>
          <w14:ligatures w14:val="none"/>
        </w:rPr>
        <w:drawing>
          <wp:inline distT="0" distB="0" distL="0" distR="0" wp14:anchorId="715721ED" wp14:editId="36BD7BC2">
            <wp:extent cx="6019800" cy="160782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C9AF" w14:textId="77777777" w:rsidR="00411E8F" w:rsidRPr="00411E8F" w:rsidRDefault="00411E8F" w:rsidP="00411E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45974F9" w14:textId="77777777" w:rsidR="00411E8F" w:rsidRPr="00411E8F" w:rsidRDefault="00411E8F" w:rsidP="00411E8F">
      <w:r w:rsidRPr="00411E8F">
        <w:t>Hi </w:t>
      </w:r>
    </w:p>
    <w:p w14:paraId="66E93CB0" w14:textId="77777777" w:rsidR="00411E8F" w:rsidRPr="00411E8F" w:rsidRDefault="00411E8F" w:rsidP="00411E8F">
      <w:r w:rsidRPr="00411E8F">
        <w:t>Chandrashekar, Kavitha, I wanted to confirm whether this behavior should be documented as part of the Gen2X Reference Guide.</w:t>
      </w:r>
    </w:p>
    <w:p w14:paraId="1CCA09AD" w14:textId="77777777" w:rsidR="00411E8F" w:rsidRPr="00411E8F" w:rsidRDefault="00411E8F" w:rsidP="00411E8F">
      <w:r w:rsidRPr="00411E8F">
        <w:t> </w:t>
      </w:r>
    </w:p>
    <w:p w14:paraId="0DE1EE3E" w14:textId="77777777" w:rsidR="00411E8F" w:rsidRPr="00411E8F" w:rsidRDefault="00411E8F" w:rsidP="00411E8F">
      <w:r w:rsidRPr="00411E8F">
        <w:t xml:space="preserve">Based on the recent clarification from the engineering team, I understand that </w:t>
      </w:r>
      <w:proofErr w:type="spellStart"/>
      <w:r w:rsidRPr="00411E8F">
        <w:rPr>
          <w:b/>
          <w:bCs/>
        </w:rPr>
        <w:t>FastID</w:t>
      </w:r>
      <w:proofErr w:type="spellEnd"/>
      <w:r w:rsidRPr="00411E8F">
        <w:rPr>
          <w:b/>
          <w:bCs/>
        </w:rPr>
        <w:t xml:space="preserve">, </w:t>
      </w:r>
      <w:proofErr w:type="spellStart"/>
      <w:r w:rsidRPr="00411E8F">
        <w:rPr>
          <w:b/>
          <w:bCs/>
        </w:rPr>
        <w:t>TagFocus</w:t>
      </w:r>
      <w:proofErr w:type="spellEnd"/>
      <w:r w:rsidRPr="00411E8F">
        <w:rPr>
          <w:b/>
          <w:bCs/>
        </w:rPr>
        <w:t>, Tag Quieting, and Protected Mode</w:t>
      </w:r>
      <w:r w:rsidRPr="00411E8F">
        <w:t xml:space="preserve"> are Impinj Gen2X features configured through set_impinjGen2X, whereas the </w:t>
      </w:r>
      <w:r w:rsidRPr="00411E8F">
        <w:rPr>
          <w:b/>
          <w:bCs/>
        </w:rPr>
        <w:t>Gen2X Radio Performance Feature</w:t>
      </w:r>
      <w:r w:rsidRPr="00411E8F">
        <w:t xml:space="preserve"> is configured separately using </w:t>
      </w:r>
      <w:proofErr w:type="spellStart"/>
      <w:r w:rsidRPr="00411E8F">
        <w:t>inventoryProtocol.mode</w:t>
      </w:r>
      <w:proofErr w:type="spellEnd"/>
      <w:r w:rsidRPr="00411E8F">
        <w:t xml:space="preserve"> (GEN2, GEN2X, HYBRID) through the </w:t>
      </w:r>
      <w:proofErr w:type="spellStart"/>
      <w:r w:rsidRPr="00411E8F">
        <w:t>set_mode</w:t>
      </w:r>
      <w:proofErr w:type="spellEnd"/>
      <w:r w:rsidRPr="00411E8F">
        <w:t xml:space="preserve"> API.</w:t>
      </w:r>
    </w:p>
    <w:p w14:paraId="2F7D8370" w14:textId="77777777" w:rsidR="00411E8F" w:rsidRPr="00411E8F" w:rsidRDefault="00411E8F" w:rsidP="00411E8F">
      <w:r w:rsidRPr="00411E8F">
        <w:t xml:space="preserve">Should we include a section in the Impinj Gen2X documentation describing the </w:t>
      </w:r>
      <w:proofErr w:type="spellStart"/>
      <w:r w:rsidRPr="00411E8F">
        <w:t>set_mode</w:t>
      </w:r>
      <w:proofErr w:type="spellEnd"/>
      <w:r w:rsidRPr="00411E8F">
        <w:t xml:space="preserve"> inventory protocol options (GEN2, GEN2X, and HYBRID) and their behavior, or should the guide remain focused only on the Impinj Gen2X feature APIs (</w:t>
      </w:r>
      <w:proofErr w:type="spellStart"/>
      <w:r w:rsidRPr="00411E8F">
        <w:t>FastID</w:t>
      </w:r>
      <w:proofErr w:type="spellEnd"/>
      <w:r w:rsidRPr="00411E8F">
        <w:t xml:space="preserve">, </w:t>
      </w:r>
      <w:proofErr w:type="spellStart"/>
      <w:r w:rsidRPr="00411E8F">
        <w:t>TagFocus</w:t>
      </w:r>
      <w:proofErr w:type="spellEnd"/>
      <w:r w:rsidRPr="00411E8F">
        <w:t>, Tag Quieting, and Protected Mode)?</w:t>
      </w:r>
    </w:p>
    <w:p w14:paraId="7D281B07" w14:textId="77777777" w:rsidR="00411E8F" w:rsidRPr="00411E8F" w:rsidRDefault="00411E8F" w:rsidP="00411E8F">
      <w:r w:rsidRPr="00411E8F">
        <w:t>During testing, I observed that:</w:t>
      </w:r>
    </w:p>
    <w:p w14:paraId="06A1D65B" w14:textId="77777777" w:rsidR="00411E8F" w:rsidRPr="00411E8F" w:rsidRDefault="00411E8F" w:rsidP="00411E8F">
      <w:pPr>
        <w:numPr>
          <w:ilvl w:val="0"/>
          <w:numId w:val="1"/>
        </w:numPr>
      </w:pPr>
      <w:r w:rsidRPr="00411E8F">
        <w:t>GEN2 inventories both Gen2 and Gen2X tags.</w:t>
      </w:r>
    </w:p>
    <w:p w14:paraId="09A90973" w14:textId="77777777" w:rsidR="00411E8F" w:rsidRPr="00411E8F" w:rsidRDefault="00411E8F" w:rsidP="00411E8F">
      <w:pPr>
        <w:numPr>
          <w:ilvl w:val="0"/>
          <w:numId w:val="1"/>
        </w:numPr>
      </w:pPr>
      <w:r w:rsidRPr="00411E8F">
        <w:lastRenderedPageBreak/>
        <w:t>GEN2X inventories only Gen2X-capable tags.</w:t>
      </w:r>
    </w:p>
    <w:p w14:paraId="34DC3095" w14:textId="77777777" w:rsidR="00411E8F" w:rsidRPr="00411E8F" w:rsidRDefault="00411E8F" w:rsidP="00411E8F">
      <w:pPr>
        <w:numPr>
          <w:ilvl w:val="0"/>
          <w:numId w:val="1"/>
        </w:numPr>
      </w:pPr>
      <w:r w:rsidRPr="00411E8F">
        <w:t>HYBRID inventories both Gen2 and Gen2X tags using their respective protocols.</w:t>
      </w:r>
    </w:p>
    <w:p w14:paraId="5322229E" w14:textId="322B718C" w:rsidR="00411E8F" w:rsidRPr="00411E8F" w:rsidRDefault="00411E8F" w:rsidP="00411E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 Immanuel, Radio performance features are also one of the main features we’ve released and told people about, if there’s currently no guide how to enable them, we need to incorporate </w:t>
      </w:r>
      <w:proofErr w:type="gramStart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</w:t>
      </w:r>
      <w:proofErr w:type="gramEnd"/>
      <w:r w:rsidRPr="00411E8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both starfish and sand dollar Otherwise they’re going to reach out to us anyway if they cannot find the steps to use that feature </w:t>
      </w:r>
    </w:p>
    <w:p w14:paraId="1E0C1D55" w14:textId="77777777" w:rsidR="00411E8F" w:rsidRPr="00411E8F" w:rsidRDefault="00411E8F" w:rsidP="00411E8F">
      <w:r>
        <w:br/>
      </w:r>
      <w:r>
        <w:br/>
      </w:r>
      <w:r>
        <w:br/>
      </w:r>
      <w:r w:rsidRPr="00411E8F">
        <w:rPr>
          <w:b/>
          <w:bCs/>
        </w:rPr>
        <w:t>Supported Readers</w:t>
      </w:r>
      <w:r w:rsidRPr="00411E8F">
        <w:br/>
      </w:r>
      <w:r w:rsidRPr="00411E8F">
        <w:br/>
        <w:t xml:space="preserve">Impinj Gen2X is supported on FXR Fixed Readers, FX9600, FX7500 ASIC, FX7500 legacy, and ATR7000. </w:t>
      </w:r>
      <w:proofErr w:type="spellStart"/>
      <w:r w:rsidRPr="00411E8F">
        <w:t>FastID</w:t>
      </w:r>
      <w:proofErr w:type="spellEnd"/>
      <w:r w:rsidRPr="00411E8F">
        <w:t xml:space="preserve">, </w:t>
      </w:r>
      <w:proofErr w:type="spellStart"/>
      <w:r w:rsidRPr="00411E8F">
        <w:t>TagFocus</w:t>
      </w:r>
      <w:proofErr w:type="spellEnd"/>
      <w:r w:rsidRPr="00411E8F">
        <w:t>, and Tag Quieting are available across these readers. Protected Mode and Gen2X Radio Performance Features have the following reader-specific considerations:</w:t>
      </w:r>
      <w:r w:rsidRPr="00411E8F">
        <w:br/>
      </w:r>
      <w:r w:rsidRPr="00411E8F">
        <w:br/>
      </w:r>
      <w:r w:rsidRPr="00411E8F">
        <w:rPr>
          <w:b/>
          <w:bCs/>
        </w:rPr>
        <w:t>ATR7000</w:t>
      </w:r>
      <w:r w:rsidRPr="00411E8F">
        <w:br/>
      </w:r>
      <w:r w:rsidRPr="00411E8F">
        <w:rPr>
          <w:b/>
          <w:bCs/>
        </w:rPr>
        <w:t>Protected Mode:</w:t>
      </w:r>
      <w:r w:rsidRPr="00411E8F">
        <w:t xml:space="preserve"> Not available because protected-tag operations require a shorter tag access range than the typical ATR7000 operating distance.</w:t>
      </w:r>
      <w:r w:rsidRPr="00411E8F">
        <w:br/>
      </w:r>
      <w:r w:rsidRPr="00411E8F">
        <w:rPr>
          <w:b/>
          <w:bCs/>
        </w:rPr>
        <w:t>Gen2X Radio Performance Features:</w:t>
      </w:r>
      <w:r w:rsidRPr="00411E8F">
        <w:t xml:space="preserve"> Not available due to differences in the reader’s radio architecture and inventory processing.</w:t>
      </w:r>
      <w:r w:rsidRPr="00411E8F">
        <w:br/>
      </w:r>
      <w:r w:rsidRPr="00411E8F">
        <w:rPr>
          <w:b/>
          <w:bCs/>
        </w:rPr>
        <w:t>Portal Directionality:</w:t>
      </w:r>
      <w:r w:rsidRPr="00411E8F">
        <w:t xml:space="preserve"> Gen2X features are not applied when Portal Directionality is enabled because it uses a separate directionality inventory workflow.</w:t>
      </w:r>
      <w:r w:rsidRPr="00411E8F">
        <w:br/>
      </w:r>
      <w:r w:rsidRPr="00411E8F">
        <w:rPr>
          <w:b/>
          <w:bCs/>
        </w:rPr>
        <w:t>Legacy FX7500</w:t>
      </w:r>
      <w:r w:rsidRPr="00411E8F">
        <w:br/>
      </w:r>
      <w:r w:rsidRPr="00411E8F">
        <w:rPr>
          <w:b/>
          <w:bCs/>
        </w:rPr>
        <w:t>Protected Mode and Gen2X Radio Performance Features</w:t>
      </w:r>
      <w:r w:rsidRPr="00411E8F">
        <w:t xml:space="preserve"> are not available on legacy hardware.</w:t>
      </w:r>
    </w:p>
    <w:p w14:paraId="51CE039E" w14:textId="77777777" w:rsidR="00411E8F" w:rsidRPr="00411E8F" w:rsidRDefault="00411E8F" w:rsidP="00411E8F">
      <w:r w:rsidRPr="00411E8F">
        <w:t> </w:t>
      </w:r>
    </w:p>
    <w:p w14:paraId="676DB803" w14:textId="77777777" w:rsidR="00411E8F" w:rsidRPr="00411E8F" w:rsidRDefault="00411E8F" w:rsidP="00411E8F">
      <w:r w:rsidRPr="00411E8F">
        <w:rPr>
          <w:b/>
          <w:bCs/>
        </w:rPr>
        <w:t>Overview</w:t>
      </w:r>
      <w:r w:rsidRPr="00411E8F">
        <w:br/>
      </w:r>
      <w:r w:rsidRPr="00411E8F">
        <w:br/>
        <w:t>This reference explains how to configure and use the following Gen2X capabilities through MQTT and REST APIs:</w:t>
      </w:r>
      <w:r w:rsidRPr="00411E8F">
        <w:br/>
      </w:r>
      <w:r w:rsidRPr="00411E8F">
        <w:br/>
      </w:r>
      <w:r w:rsidRPr="00411E8F">
        <w:rPr>
          <w:b/>
          <w:bCs/>
        </w:rPr>
        <w:t>Protected Mode:</w:t>
      </w:r>
      <w:r w:rsidRPr="00411E8F">
        <w:t xml:space="preserve"> Protect individual tags using authenticated access so they are not visible to unauthorized readers.</w:t>
      </w:r>
      <w:r w:rsidRPr="00411E8F">
        <w:br/>
      </w:r>
      <w:proofErr w:type="spellStart"/>
      <w:r w:rsidRPr="00411E8F">
        <w:rPr>
          <w:b/>
          <w:bCs/>
        </w:rPr>
        <w:t>FastID</w:t>
      </w:r>
      <w:proofErr w:type="spellEnd"/>
      <w:r w:rsidRPr="00411E8F">
        <w:rPr>
          <w:b/>
          <w:bCs/>
        </w:rPr>
        <w:t>:</w:t>
      </w:r>
      <w:r w:rsidRPr="00411E8F">
        <w:t xml:space="preserve"> Return the EPC and TID as part of the same inventory response.</w:t>
      </w:r>
      <w:r w:rsidRPr="00411E8F">
        <w:br/>
      </w:r>
      <w:proofErr w:type="spellStart"/>
      <w:r w:rsidRPr="00411E8F">
        <w:rPr>
          <w:b/>
          <w:bCs/>
        </w:rPr>
        <w:t>TagFocus</w:t>
      </w:r>
      <w:proofErr w:type="spellEnd"/>
      <w:r w:rsidRPr="00411E8F">
        <w:rPr>
          <w:b/>
          <w:bCs/>
        </w:rPr>
        <w:t>:</w:t>
      </w:r>
      <w:r w:rsidRPr="00411E8F">
        <w:t xml:space="preserve"> Reduce repeated reporting of previously inventoried tags so the reader can prioritize new tags.</w:t>
      </w:r>
      <w:r w:rsidRPr="00411E8F">
        <w:br/>
      </w:r>
      <w:r w:rsidRPr="00411E8F">
        <w:rPr>
          <w:b/>
          <w:bCs/>
        </w:rPr>
        <w:lastRenderedPageBreak/>
        <w:t>Tag Quieting:</w:t>
      </w:r>
      <w:r w:rsidRPr="00411E8F">
        <w:t xml:space="preserve"> Quiet selected tags based on EPC ID through reader-level configuration.</w:t>
      </w:r>
      <w:r w:rsidRPr="00411E8F">
        <w:br/>
      </w:r>
      <w:r w:rsidRPr="00411E8F">
        <w:rPr>
          <w:b/>
          <w:bCs/>
        </w:rPr>
        <w:t>Gen2X Radio Performance Features:</w:t>
      </w:r>
      <w:r w:rsidRPr="00411E8F">
        <w:t xml:space="preserve"> Configure supported Gen2X radio-level features (Gen2, Gen2X or Hybrid) to optimize tag inventory performance.</w:t>
      </w:r>
    </w:p>
    <w:p w14:paraId="77392F57" w14:textId="77777777" w:rsidR="00411E8F" w:rsidRPr="00411E8F" w:rsidRDefault="00411E8F" w:rsidP="00411E8F">
      <w:r w:rsidRPr="00411E8F">
        <w:t> </w:t>
      </w:r>
    </w:p>
    <w:p w14:paraId="67DA1E28" w14:textId="77777777" w:rsidR="00411E8F" w:rsidRPr="00411E8F" w:rsidRDefault="00411E8F" w:rsidP="00411E8F">
      <w:r w:rsidRPr="00411E8F">
        <w:t xml:space="preserve">on ATR7000, Gen2X Radio Performance Features </w:t>
      </w:r>
      <w:proofErr w:type="gramStart"/>
      <w:r w:rsidRPr="00411E8F">
        <w:t>is</w:t>
      </w:r>
      <w:proofErr w:type="gramEnd"/>
      <w:r w:rsidRPr="00411E8F">
        <w:t xml:space="preserve"> still in testing and could be supported/not supported</w:t>
      </w:r>
    </w:p>
    <w:p w14:paraId="35C3C09E" w14:textId="77777777" w:rsidR="00411E8F" w:rsidRPr="00411E8F" w:rsidRDefault="00411E8F" w:rsidP="00411E8F">
      <w:r w:rsidRPr="00411E8F">
        <w:t> </w:t>
      </w:r>
    </w:p>
    <w:p w14:paraId="31C1504E" w14:textId="77777777" w:rsidR="00411E8F" w:rsidRPr="00411E8F" w:rsidRDefault="00411E8F" w:rsidP="00411E8F">
      <w:proofErr w:type="gramStart"/>
      <w:r w:rsidRPr="00411E8F">
        <w:t>we</w:t>
      </w:r>
      <w:proofErr w:type="gramEnd"/>
      <w:r w:rsidRPr="00411E8F">
        <w:t xml:space="preserve"> </w:t>
      </w:r>
      <w:proofErr w:type="gramStart"/>
      <w:r w:rsidRPr="00411E8F">
        <w:t>have to</w:t>
      </w:r>
      <w:proofErr w:type="gramEnd"/>
      <w:r w:rsidRPr="00411E8F">
        <w:t xml:space="preserve"> wait to hear from the team</w:t>
      </w:r>
    </w:p>
    <w:p w14:paraId="6032912F" w14:textId="77777777" w:rsidR="00411E8F" w:rsidRPr="00411E8F" w:rsidRDefault="00411E8F" w:rsidP="00411E8F">
      <w:r w:rsidRPr="00411E8F">
        <w:t> </w:t>
      </w:r>
    </w:p>
    <w:p w14:paraId="0EF8918B" w14:textId="77777777" w:rsidR="00411E8F" w:rsidRPr="00411E8F" w:rsidRDefault="00411E8F" w:rsidP="00411E8F">
      <w:r w:rsidRPr="00411E8F">
        <w:t xml:space="preserve">I think we can go ahead with FXR rest and </w:t>
      </w:r>
      <w:proofErr w:type="spellStart"/>
      <w:r w:rsidRPr="00411E8F">
        <w:t>mqtt</w:t>
      </w:r>
      <w:proofErr w:type="spellEnd"/>
      <w:r w:rsidRPr="00411E8F">
        <w:t xml:space="preserve"> docs for publish, for Gen2X reference guide, let us wait until the testing is complete</w:t>
      </w:r>
    </w:p>
    <w:p w14:paraId="70F43053" w14:textId="77777777" w:rsidR="00411E8F" w:rsidRPr="00411E8F" w:rsidRDefault="00411E8F" w:rsidP="00411E8F">
      <w:r w:rsidRPr="00411E8F">
        <w:t> </w:t>
      </w:r>
    </w:p>
    <w:p w14:paraId="63ED2AFE" w14:textId="77777777" w:rsidR="00411E8F" w:rsidRPr="00411E8F" w:rsidRDefault="00411E8F" w:rsidP="00411E8F">
      <w:r w:rsidRPr="00411E8F">
        <w:t>maybe this is not aligning straight</w:t>
      </w:r>
    </w:p>
    <w:p w14:paraId="1C97418B" w14:textId="77777777" w:rsidR="00411E8F" w:rsidRPr="00411E8F" w:rsidRDefault="00411E8F" w:rsidP="00411E8F">
      <w:r w:rsidRPr="00411E8F">
        <w:t> </w:t>
      </w:r>
    </w:p>
    <w:p w14:paraId="71BA4138" w14:textId="725C6688" w:rsidR="00411E8F" w:rsidRPr="00411E8F" w:rsidRDefault="00411E8F" w:rsidP="00411E8F">
      <w:r w:rsidRPr="00411E8F">
        <w:lastRenderedPageBreak/>
        <w:drawing>
          <wp:inline distT="0" distB="0" distL="0" distR="0" wp14:anchorId="278D8766" wp14:editId="402F51A8">
            <wp:extent cx="2781300" cy="6522720"/>
            <wp:effectExtent l="0" t="0" r="0" b="0"/>
            <wp:docPr id="172928267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4E560" w14:textId="77777777" w:rsidR="00411E8F" w:rsidRPr="00411E8F" w:rsidRDefault="00411E8F" w:rsidP="00411E8F">
      <w:r w:rsidRPr="00411E8F">
        <w:t> </w:t>
      </w:r>
    </w:p>
    <w:p w14:paraId="66C05A3B" w14:textId="77777777" w:rsidR="00411E8F" w:rsidRPr="00411E8F" w:rsidRDefault="00411E8F" w:rsidP="00411E8F">
      <w:r w:rsidRPr="00411E8F">
        <w:t>if u expand the column that might fix the issue</w:t>
      </w:r>
    </w:p>
    <w:p w14:paraId="7C5278C6" w14:textId="77777777" w:rsidR="00411E8F" w:rsidRPr="00411E8F" w:rsidRDefault="00411E8F" w:rsidP="00411E8F">
      <w:r w:rsidRPr="00411E8F">
        <w:t> </w:t>
      </w:r>
    </w:p>
    <w:p w14:paraId="02F040FD" w14:textId="77777777" w:rsidR="00411E8F" w:rsidRPr="00411E8F" w:rsidRDefault="00411E8F" w:rsidP="00411E8F">
      <w:r w:rsidRPr="00411E8F">
        <w:t xml:space="preserve">in rest schema, are these needed? </w:t>
      </w:r>
      <w:proofErr w:type="gramStart"/>
      <w:r w:rsidRPr="00411E8F">
        <w:t>if</w:t>
      </w:r>
      <w:proofErr w:type="gramEnd"/>
      <w:r w:rsidRPr="00411E8F">
        <w:t xml:space="preserve"> not remove it</w:t>
      </w:r>
    </w:p>
    <w:p w14:paraId="55F9E387" w14:textId="5A3DA181" w:rsidR="00411E8F" w:rsidRPr="00411E8F" w:rsidRDefault="00411E8F" w:rsidP="00411E8F">
      <w:r w:rsidRPr="00411E8F">
        <w:lastRenderedPageBreak/>
        <w:drawing>
          <wp:inline distT="0" distB="0" distL="0" distR="0" wp14:anchorId="7B902520" wp14:editId="23B7B8EA">
            <wp:extent cx="5661660" cy="1135380"/>
            <wp:effectExtent l="0" t="0" r="0" b="7620"/>
            <wp:docPr id="156446356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AA608" w14:textId="77777777" w:rsidR="00411E8F" w:rsidRPr="00411E8F" w:rsidRDefault="00411E8F" w:rsidP="00411E8F">
      <w:r w:rsidRPr="00411E8F">
        <w:t> </w:t>
      </w:r>
    </w:p>
    <w:p w14:paraId="2DABA31D" w14:textId="62EECE25" w:rsidR="00FE6E43" w:rsidRDefault="00FE6E43"/>
    <w:p w14:paraId="7A04C917" w14:textId="77777777" w:rsidR="00411E8F" w:rsidRDefault="00411E8F"/>
    <w:p w14:paraId="57684FE3" w14:textId="77777777" w:rsidR="00411E8F" w:rsidRPr="00411E8F" w:rsidRDefault="00411E8F" w:rsidP="00411E8F">
      <w:r w:rsidRPr="00411E8F">
        <w:rPr>
          <w:b/>
          <w:bCs/>
        </w:rPr>
        <w:t>Supported Readers</w:t>
      </w:r>
      <w:r w:rsidRPr="00411E8F">
        <w:br/>
      </w:r>
      <w:r w:rsidRPr="00411E8F">
        <w:br/>
        <w:t xml:space="preserve">Impinj Gen2X is supported on FXR Fixed Readers, FX9600, FX7500 ASIC, FX7500 legacy, and ATR7000. </w:t>
      </w:r>
      <w:proofErr w:type="spellStart"/>
      <w:r w:rsidRPr="00411E8F">
        <w:t>FastID</w:t>
      </w:r>
      <w:proofErr w:type="spellEnd"/>
      <w:r w:rsidRPr="00411E8F">
        <w:t xml:space="preserve">, </w:t>
      </w:r>
      <w:proofErr w:type="spellStart"/>
      <w:r w:rsidRPr="00411E8F">
        <w:t>TagFocus</w:t>
      </w:r>
      <w:proofErr w:type="spellEnd"/>
      <w:r w:rsidRPr="00411E8F">
        <w:t>, and Tag Quieting are available across these readers. Protected Mode and Gen2X Radio Performance Features have the following reader-specific considerations:</w:t>
      </w:r>
      <w:r w:rsidRPr="00411E8F">
        <w:br/>
      </w:r>
      <w:r w:rsidRPr="00411E8F">
        <w:br/>
      </w:r>
      <w:r w:rsidRPr="00411E8F">
        <w:rPr>
          <w:b/>
          <w:bCs/>
        </w:rPr>
        <w:t>ATR7000</w:t>
      </w:r>
      <w:r w:rsidRPr="00411E8F">
        <w:br/>
      </w:r>
      <w:r w:rsidRPr="00411E8F">
        <w:rPr>
          <w:b/>
          <w:bCs/>
        </w:rPr>
        <w:t>Protected Mode:</w:t>
      </w:r>
      <w:r w:rsidRPr="00411E8F">
        <w:t xml:space="preserve"> Not available because protected-tag operations require a shorter tag access range than the typical ATR7000 operating distance.</w:t>
      </w:r>
      <w:r w:rsidRPr="00411E8F">
        <w:br/>
      </w:r>
      <w:r w:rsidRPr="00411E8F">
        <w:rPr>
          <w:b/>
          <w:bCs/>
        </w:rPr>
        <w:t>Gen2X Radio Performance Features:</w:t>
      </w:r>
      <w:r w:rsidRPr="00411E8F">
        <w:t xml:space="preserve"> Not available due to differences in the reader’s radio architecture and inventory processing.</w:t>
      </w:r>
      <w:r w:rsidRPr="00411E8F">
        <w:br/>
      </w:r>
      <w:r w:rsidRPr="00411E8F">
        <w:rPr>
          <w:b/>
          <w:bCs/>
        </w:rPr>
        <w:t>Portal Directionality:</w:t>
      </w:r>
      <w:r w:rsidRPr="00411E8F">
        <w:t xml:space="preserve"> Gen2X features are not applied when Portal Directionality is enabled because it uses a separate directionality inventory workflow.</w:t>
      </w:r>
      <w:r w:rsidRPr="00411E8F">
        <w:br/>
      </w:r>
      <w:r w:rsidRPr="00411E8F">
        <w:rPr>
          <w:b/>
          <w:bCs/>
        </w:rPr>
        <w:t>Legacy FX7500</w:t>
      </w:r>
      <w:r w:rsidRPr="00411E8F">
        <w:br/>
      </w:r>
      <w:r w:rsidRPr="00411E8F">
        <w:rPr>
          <w:b/>
          <w:bCs/>
        </w:rPr>
        <w:t>Protected Mode and Gen2X Radio Performance Features</w:t>
      </w:r>
      <w:r w:rsidRPr="00411E8F">
        <w:t xml:space="preserve"> are not available on legacy hardware.</w:t>
      </w:r>
    </w:p>
    <w:p w14:paraId="57CDAF0D" w14:textId="77777777" w:rsidR="00411E8F" w:rsidRPr="00411E8F" w:rsidRDefault="00411E8F" w:rsidP="00411E8F">
      <w:r w:rsidRPr="00411E8F">
        <w:t> </w:t>
      </w:r>
    </w:p>
    <w:p w14:paraId="08C15BAB" w14:textId="77777777" w:rsidR="00411E8F" w:rsidRPr="00411E8F" w:rsidRDefault="00411E8F" w:rsidP="00411E8F">
      <w:r w:rsidRPr="00411E8F">
        <w:rPr>
          <w:b/>
          <w:bCs/>
        </w:rPr>
        <w:t>Overview</w:t>
      </w:r>
      <w:r w:rsidRPr="00411E8F">
        <w:br/>
      </w:r>
      <w:r w:rsidRPr="00411E8F">
        <w:br/>
        <w:t>This reference explains how to configure and use the following Gen2X capabilities through MQTT and REST APIs:</w:t>
      </w:r>
      <w:r w:rsidRPr="00411E8F">
        <w:br/>
      </w:r>
      <w:r w:rsidRPr="00411E8F">
        <w:br/>
      </w:r>
      <w:r w:rsidRPr="00411E8F">
        <w:rPr>
          <w:b/>
          <w:bCs/>
        </w:rPr>
        <w:t>Protected Mode:</w:t>
      </w:r>
      <w:r w:rsidRPr="00411E8F">
        <w:t xml:space="preserve"> Protect individual tags using authenticated access so they are not visible to unauthorized readers.</w:t>
      </w:r>
      <w:r w:rsidRPr="00411E8F">
        <w:br/>
      </w:r>
      <w:proofErr w:type="spellStart"/>
      <w:r w:rsidRPr="00411E8F">
        <w:rPr>
          <w:b/>
          <w:bCs/>
        </w:rPr>
        <w:t>FastID</w:t>
      </w:r>
      <w:proofErr w:type="spellEnd"/>
      <w:r w:rsidRPr="00411E8F">
        <w:rPr>
          <w:b/>
          <w:bCs/>
        </w:rPr>
        <w:t>:</w:t>
      </w:r>
      <w:r w:rsidRPr="00411E8F">
        <w:t xml:space="preserve"> Return the EPC and TID as part of the same inventory response.</w:t>
      </w:r>
      <w:r w:rsidRPr="00411E8F">
        <w:br/>
      </w:r>
      <w:proofErr w:type="spellStart"/>
      <w:r w:rsidRPr="00411E8F">
        <w:rPr>
          <w:b/>
          <w:bCs/>
        </w:rPr>
        <w:t>TagFocus</w:t>
      </w:r>
      <w:proofErr w:type="spellEnd"/>
      <w:r w:rsidRPr="00411E8F">
        <w:rPr>
          <w:b/>
          <w:bCs/>
        </w:rPr>
        <w:t>:</w:t>
      </w:r>
      <w:r w:rsidRPr="00411E8F">
        <w:t xml:space="preserve"> Reduce repeated reporting of previously inventoried tags so the reader can </w:t>
      </w:r>
      <w:r w:rsidRPr="00411E8F">
        <w:lastRenderedPageBreak/>
        <w:t>prioritize new tags.</w:t>
      </w:r>
      <w:r w:rsidRPr="00411E8F">
        <w:br/>
      </w:r>
      <w:r w:rsidRPr="00411E8F">
        <w:rPr>
          <w:b/>
          <w:bCs/>
        </w:rPr>
        <w:t>Tag Quieting:</w:t>
      </w:r>
      <w:r w:rsidRPr="00411E8F">
        <w:t xml:space="preserve"> Quiet selected tags based on EPC ID through reader-level configuration.</w:t>
      </w:r>
      <w:r w:rsidRPr="00411E8F">
        <w:br/>
      </w:r>
      <w:r w:rsidRPr="00411E8F">
        <w:rPr>
          <w:b/>
          <w:bCs/>
        </w:rPr>
        <w:t>Gen2X Radio Performance Features:</w:t>
      </w:r>
      <w:r w:rsidRPr="00411E8F">
        <w:t xml:space="preserve"> Configure supported Gen2X radio-level features (Gen2, Gen2X or Hybrid) to optimize tag inventory performance.</w:t>
      </w:r>
    </w:p>
    <w:p w14:paraId="7CE66FB5" w14:textId="77777777" w:rsidR="00411E8F" w:rsidRPr="00411E8F" w:rsidRDefault="00411E8F" w:rsidP="00411E8F">
      <w:r w:rsidRPr="00411E8F">
        <w:t> </w:t>
      </w:r>
    </w:p>
    <w:p w14:paraId="2F5862A0" w14:textId="77777777" w:rsidR="00411E8F" w:rsidRPr="00411E8F" w:rsidRDefault="00411E8F" w:rsidP="00411E8F">
      <w:r w:rsidRPr="00411E8F">
        <w:t xml:space="preserve">on ATR7000, Gen2X Radio Performance Features </w:t>
      </w:r>
      <w:proofErr w:type="gramStart"/>
      <w:r w:rsidRPr="00411E8F">
        <w:t>is</w:t>
      </w:r>
      <w:proofErr w:type="gramEnd"/>
      <w:r w:rsidRPr="00411E8F">
        <w:t xml:space="preserve"> still in testing and could be supported/not supported</w:t>
      </w:r>
    </w:p>
    <w:p w14:paraId="6CCC4EF1" w14:textId="77777777" w:rsidR="00411E8F" w:rsidRPr="00411E8F" w:rsidRDefault="00411E8F" w:rsidP="00411E8F">
      <w:r w:rsidRPr="00411E8F">
        <w:t> </w:t>
      </w:r>
    </w:p>
    <w:p w14:paraId="74FD63F1" w14:textId="77777777" w:rsidR="00411E8F" w:rsidRPr="00411E8F" w:rsidRDefault="00411E8F" w:rsidP="00411E8F">
      <w:proofErr w:type="gramStart"/>
      <w:r w:rsidRPr="00411E8F">
        <w:t>we</w:t>
      </w:r>
      <w:proofErr w:type="gramEnd"/>
      <w:r w:rsidRPr="00411E8F">
        <w:t xml:space="preserve"> </w:t>
      </w:r>
      <w:proofErr w:type="gramStart"/>
      <w:r w:rsidRPr="00411E8F">
        <w:t>have to</w:t>
      </w:r>
      <w:proofErr w:type="gramEnd"/>
      <w:r w:rsidRPr="00411E8F">
        <w:t xml:space="preserve"> wait to hear from the team</w:t>
      </w:r>
    </w:p>
    <w:p w14:paraId="37F00013" w14:textId="77777777" w:rsidR="00411E8F" w:rsidRPr="00411E8F" w:rsidRDefault="00411E8F" w:rsidP="00411E8F">
      <w:r w:rsidRPr="00411E8F">
        <w:t> </w:t>
      </w:r>
    </w:p>
    <w:p w14:paraId="2BAA97AB" w14:textId="77777777" w:rsidR="00411E8F" w:rsidRDefault="00411E8F"/>
    <w:sectPr w:rsidR="00411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483B"/>
    <w:multiLevelType w:val="multilevel"/>
    <w:tmpl w:val="8D5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22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E8F"/>
    <w:rsid w:val="00106425"/>
    <w:rsid w:val="001E73C9"/>
    <w:rsid w:val="00411E8F"/>
    <w:rsid w:val="004B2990"/>
    <w:rsid w:val="00D11B27"/>
    <w:rsid w:val="00FE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997DE"/>
  <w15:chartTrackingRefBased/>
  <w15:docId w15:val="{09BB489E-4722-4ED6-8BAB-6D97C826D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E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1E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767</Words>
  <Characters>4377</Characters>
  <Application>Microsoft Office Word</Application>
  <DocSecurity>0</DocSecurity>
  <Lines>36</Lines>
  <Paragraphs>10</Paragraphs>
  <ScaleCrop>false</ScaleCrop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Arockianathan, Aloysius Immanuel</dc:creator>
  <cp:keywords/>
  <dc:description/>
  <cp:lastModifiedBy>Arockianathan, Aloysius Immanuel</cp:lastModifiedBy>
  <cp:revision>2</cp:revision>
  <dcterms:created xsi:type="dcterms:W3CDTF">2026-10-26T10:30:00Z</dcterms:created>
  <dcterms:modified xsi:type="dcterms:W3CDTF">2026-10-26T10:30:00Z</dcterms:modified>
</cp:coreProperties>
</file>