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Helios-3 End Effector Design Document</w:t>
      </w:r>
    </w:p>
    <w:p>
      <w:r>
        <w:t>Author: Tomas Lindqvist</w:t>
      </w:r>
    </w:p>
    <w:p>
      <w:r>
        <w:t>Date: 2026-03-06</w:t>
      </w:r>
    </w:p>
    <w:p>
      <w:r>
        <w:t>Revision: C — issued following the design review of 4 March 2026</w:t>
      </w:r>
    </w:p>
    <w:p>
      <w:pPr>
        <w:pStyle w:val="Heading2"/>
      </w:pPr>
      <w:r>
        <w:t>1. Scope</w:t>
      </w:r>
    </w:p>
    <w:p>
      <w:r>
        <w:t>This document specifies the end effector for the Helios-3 300 mm atmospheric wafer handler, covering the selection rationale, the interface to the arm, and the incoming inspection requirements that the selection depends on.</w:t>
      </w:r>
    </w:p>
    <w:p>
      <w:pPr>
        <w:pStyle w:val="Heading2"/>
      </w:pPr>
      <w:r>
        <w:t>2. Candidates evaluated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Candidate</w:t>
            </w:r>
          </w:p>
        </w:tc>
        <w:tc>
          <w:tcPr>
            <w:tcW w:type="dxa" w:w="1728"/>
          </w:tcPr>
          <w:p>
            <w:r>
              <w:t>Front adders</w:t>
            </w:r>
          </w:p>
        </w:tc>
        <w:tc>
          <w:tcPr>
            <w:tcW w:type="dxa" w:w="1728"/>
          </w:tcPr>
          <w:p>
            <w:r>
              <w:t>Back adders</w:t>
            </w:r>
          </w:p>
        </w:tc>
        <w:tc>
          <w:tcPr>
            <w:tcW w:type="dxa" w:w="1728"/>
          </w:tcPr>
          <w:p>
            <w:r>
              <w:t>Positional drift</w:t>
            </w:r>
          </w:p>
        </w:tc>
        <w:tc>
          <w:tcPr>
            <w:tcW w:type="dxa" w:w="1728"/>
          </w:tcPr>
          <w:p>
            <w:r>
              <w:t>Relative cost</w:t>
            </w:r>
          </w:p>
        </w:tc>
      </w:tr>
      <w:tr>
        <w:tc>
          <w:tcPr>
            <w:tcW w:type="dxa" w:w="1728"/>
          </w:tcPr>
          <w:p>
            <w:r>
              <w:t>Vacuum paddle</w:t>
            </w:r>
          </w:p>
        </w:tc>
        <w:tc>
          <w:tcPr>
            <w:tcW w:type="dxa" w:w="1728"/>
          </w:tcPr>
          <w:p>
            <w:r>
              <w:t>2.4</w:t>
            </w:r>
          </w:p>
        </w:tc>
        <w:tc>
          <w:tcPr>
            <w:tcW w:type="dxa" w:w="1728"/>
          </w:tcPr>
          <w:p>
            <w:r>
              <w:t>14.0</w:t>
            </w:r>
          </w:p>
        </w:tc>
        <w:tc>
          <w:tcPr>
            <w:tcW w:type="dxa" w:w="1728"/>
          </w:tcPr>
          <w:p>
            <w:r>
              <w:t>&lt; 20 um</w:t>
            </w:r>
          </w:p>
        </w:tc>
        <w:tc>
          <w:tcPr>
            <w:tcW w:type="dxa" w:w="1728"/>
          </w:tcPr>
          <w:p>
            <w:r>
              <w:t>1.0x</w:t>
            </w:r>
          </w:p>
        </w:tc>
      </w:tr>
      <w:tr>
        <w:tc>
          <w:tcPr>
            <w:tcW w:type="dxa" w:w="1728"/>
          </w:tcPr>
          <w:p>
            <w:r>
              <w:t>Bernoulli non-contact</w:t>
            </w:r>
          </w:p>
        </w:tc>
        <w:tc>
          <w:tcPr>
            <w:tcW w:type="dxa" w:w="1728"/>
          </w:tcPr>
          <w:p>
            <w:r>
              <w:t>9.1</w:t>
            </w:r>
          </w:p>
        </w:tc>
        <w:tc>
          <w:tcPr>
            <w:tcW w:type="dxa" w:w="1728"/>
          </w:tcPr>
          <w:p>
            <w:r>
              <w:t>1.2</w:t>
            </w:r>
          </w:p>
        </w:tc>
        <w:tc>
          <w:tcPr>
            <w:tcW w:type="dxa" w:w="1728"/>
          </w:tcPr>
          <w:p>
            <w:r>
              <w:t>up to 400 um</w:t>
            </w:r>
          </w:p>
        </w:tc>
        <w:tc>
          <w:tcPr>
            <w:tcW w:type="dxa" w:w="1728"/>
          </w:tcPr>
          <w:p>
            <w:r>
              <w:t>2.1x</w:t>
            </w:r>
          </w:p>
        </w:tc>
      </w:tr>
      <w:tr>
        <w:tc>
          <w:tcPr>
            <w:tcW w:type="dxa" w:w="1728"/>
          </w:tcPr>
          <w:p>
            <w:r>
              <w:t>Alumina edge grip</w:t>
            </w:r>
          </w:p>
        </w:tc>
        <w:tc>
          <w:tcPr>
            <w:tcW w:type="dxa" w:w="1728"/>
          </w:tcPr>
          <w:p>
            <w:r>
              <w:t>1.9</w:t>
            </w:r>
          </w:p>
        </w:tc>
        <w:tc>
          <w:tcPr>
            <w:tcW w:type="dxa" w:w="1728"/>
          </w:tcPr>
          <w:p>
            <w:r>
              <w:t>1.8</w:t>
            </w:r>
          </w:p>
        </w:tc>
        <w:tc>
          <w:tcPr>
            <w:tcW w:type="dxa" w:w="1728"/>
          </w:tcPr>
          <w:p>
            <w:r>
              <w:t>&lt; 10 um</w:t>
            </w:r>
          </w:p>
        </w:tc>
        <w:tc>
          <w:tcPr>
            <w:tcW w:type="dxa" w:w="1728"/>
          </w:tcPr>
          <w:p>
            <w:r>
              <w:t>3.8x</w:t>
            </w:r>
          </w:p>
        </w:tc>
      </w:tr>
    </w:tbl>
    <w:p>
      <w:r>
        <w:t>Adders are counted at 0.05 um and above, averaged over 50 passes, measured on both wafer surfaces. Positional drift is measured at maximum rotational speed at full arm extension.</w:t>
      </w:r>
    </w:p>
    <w:p>
      <w:pPr>
        <w:pStyle w:val="Heading2"/>
      </w:pPr>
      <w:r>
        <w:t>3. Selection</w:t>
      </w:r>
    </w:p>
    <w:p>
      <w:r>
        <w:t>The alumina edge grip blade from Cerapoint Ceramics, part CP-220, is selected. It is the only candidate that meets the three-adder-per-pass specification on both surfaces, and mechanical capture retains the wafer on loss of power, which improves the wafer retention case for SEMI S2.</w:t>
      </w:r>
    </w:p>
    <w:p>
      <w:r>
        <w:t>The selection is accepted with two known consequences: the blade costs 3.8 times the vacuum paddle, and Cerapoint is the only qualified supplier at a quoted lead time of thirteen weeks.</w:t>
      </w:r>
    </w:p>
    <w:p>
      <w:pPr>
        <w:pStyle w:val="Heading2"/>
      </w:pPr>
      <w:r>
        <w:t>4. Critical characteristics</w:t>
      </w:r>
    </w:p>
    <w:tbl>
      <w:tblPr>
        <w:tblStyle w:val="TableGrid"/>
        <w:tblW w:type="auto" w:w="0"/>
        <w:tblLook w:firstColumn="1" w:firstRow="1" w:lastColumn="0" w:lastRow="0" w:noHBand="0" w:noVBand="1" w:val="04A0"/>
      </w:tblPr>
      <w:tblGrid>
        <w:gridCol w:w="2880"/>
        <w:gridCol w:w="2880"/>
        <w:gridCol w:w="2880"/>
      </w:tblGrid>
      <w:tr>
        <w:tc>
          <w:tcPr>
            <w:tcW w:type="dxa" w:w="2880"/>
          </w:tcPr>
          <w:p>
            <w:r>
              <w:t>Characteristic</w:t>
            </w:r>
          </w:p>
        </w:tc>
        <w:tc>
          <w:tcPr>
            <w:tcW w:type="dxa" w:w="2880"/>
          </w:tcPr>
          <w:p>
            <w:r>
              <w:t>Specification</w:t>
            </w:r>
          </w:p>
        </w:tc>
        <w:tc>
          <w:tcPr>
            <w:tcW w:type="dxa" w:w="2880"/>
          </w:tcPr>
          <w:p>
            <w:r>
              <w:t>Verification</w:t>
            </w:r>
          </w:p>
        </w:tc>
      </w:tr>
      <w:tr>
        <w:tc>
          <w:tcPr>
            <w:tcW w:type="dxa" w:w="2880"/>
          </w:tcPr>
          <w:p>
            <w:r>
              <w:t>Contact pad chamfer</w:t>
            </w:r>
          </w:p>
        </w:tc>
        <w:tc>
          <w:tcPr>
            <w:tcW w:type="dxa" w:w="2880"/>
          </w:tcPr>
          <w:p>
            <w:r>
              <w:t>0.15 mm +/- 0.02</w:t>
            </w:r>
          </w:p>
        </w:tc>
        <w:tc>
          <w:tcPr>
            <w:tcW w:type="dxa" w:w="2880"/>
          </w:tcPr>
          <w:p>
            <w:r>
              <w:t>First article per lot</w:t>
            </w:r>
          </w:p>
        </w:tc>
      </w:tr>
      <w:tr>
        <w:tc>
          <w:tcPr>
            <w:tcW w:type="dxa" w:w="2880"/>
          </w:tcPr>
          <w:p>
            <w:r>
              <w:t>Chamfer surface finish</w:t>
            </w:r>
          </w:p>
        </w:tc>
        <w:tc>
          <w:tcPr>
            <w:tcW w:type="dxa" w:w="2880"/>
          </w:tcPr>
          <w:p>
            <w:r>
              <w:t>0.4 um Ra maximum</w:t>
            </w:r>
          </w:p>
        </w:tc>
        <w:tc>
          <w:tcPr>
            <w:tcW w:type="dxa" w:w="2880"/>
          </w:tcPr>
          <w:p>
            <w:r>
              <w:t>First article per lot</w:t>
            </w:r>
          </w:p>
        </w:tc>
      </w:tr>
      <w:tr>
        <w:tc>
          <w:tcPr>
            <w:tcW w:type="dxa" w:w="2880"/>
          </w:tcPr>
          <w:p>
            <w:r>
              <w:t>Blade flatness</w:t>
            </w:r>
          </w:p>
        </w:tc>
        <w:tc>
          <w:tcPr>
            <w:tcW w:type="dxa" w:w="2880"/>
          </w:tcPr>
          <w:p>
            <w:r>
              <w:t>50 um over 300 mm</w:t>
            </w:r>
          </w:p>
        </w:tc>
        <w:tc>
          <w:tcPr>
            <w:tcW w:type="dxa" w:w="2880"/>
          </w:tcPr>
          <w:p>
            <w:r>
              <w:t>First article per lot</w:t>
            </w:r>
          </w:p>
        </w:tc>
      </w:tr>
      <w:tr>
        <w:tc>
          <w:tcPr>
            <w:tcW w:type="dxa" w:w="2880"/>
          </w:tcPr>
          <w:p>
            <w:r>
              <w:t>Pad coplanarity</w:t>
            </w:r>
          </w:p>
        </w:tc>
        <w:tc>
          <w:tcPr>
            <w:tcW w:type="dxa" w:w="2880"/>
          </w:tcPr>
          <w:p>
            <w:r>
              <w:t>25 um</w:t>
            </w:r>
          </w:p>
        </w:tc>
        <w:tc>
          <w:tcPr>
            <w:tcW w:type="dxa" w:w="2880"/>
          </w:tcPr>
          <w:p>
            <w:r>
              <w:t>100% at assembly</w:t>
            </w:r>
          </w:p>
        </w:tc>
      </w:tr>
      <w:tr>
        <w:tc>
          <w:tcPr>
            <w:tcW w:type="dxa" w:w="2880"/>
          </w:tcPr>
          <w:p>
            <w:r>
              <w:t>Material</w:t>
            </w:r>
          </w:p>
        </w:tc>
        <w:tc>
          <w:tcPr>
            <w:tcW w:type="dxa" w:w="2880"/>
          </w:tcPr>
          <w:p>
            <w:r>
              <w:t>99.6% alumina</w:t>
            </w:r>
          </w:p>
        </w:tc>
        <w:tc>
          <w:tcPr>
            <w:tcW w:type="dxa" w:w="2880"/>
          </w:tcPr>
          <w:p>
            <w:r>
              <w:t>Supplier certificate</w:t>
            </w:r>
          </w:p>
        </w:tc>
      </w:tr>
    </w:tbl>
    <w:p>
      <w:r>
        <w:t>The chamfer geometry is the characteristic that produces the particle result. A blade with an out-of-specification chamfer picks wafers normally and gives no indication of the defect until adders appear on a customer's metrology.</w:t>
      </w:r>
    </w:p>
    <w:p>
      <w:pPr>
        <w:pStyle w:val="Heading2"/>
      </w:pPr>
      <w:r>
        <w:t>5. Incoming inspection</w:t>
      </w:r>
    </w:p>
    <w:p>
      <w:pPr>
        <w:pStyle w:val="ListBullet"/>
      </w:pPr>
      <w:r>
        <w:t>First article dimensional inspection of the chamfer on every lot, performed by Meridian and not accepted on the supplier certificate alone.</w:t>
      </w:r>
    </w:p>
    <w:p>
      <w:pPr>
        <w:pStyle w:val="ListBullet"/>
      </w:pPr>
      <w:r>
        <w:t>One retained sample per lot, stored for twelve months, so that a field failure can be traced back to what was actually received.</w:t>
      </w:r>
    </w:p>
    <w:p>
      <w:pPr>
        <w:pStyle w:val="ListBullet"/>
      </w:pPr>
      <w:r>
        <w:t>Buffer stock of eight weeks (46 blades) held on site against the thirteen week lead time.</w:t>
      </w:r>
    </w:p>
    <w:p>
      <w:pPr>
        <w:pStyle w:val="Heading2"/>
      </w:pPr>
      <w:r>
        <w:t>6. Known limitations</w:t>
      </w:r>
    </w:p>
    <w:p>
      <w:r>
        <w:t>The one kilohertz position loop on the Rev A controller overshoots by approximately 60 um on handoff settle with this blade. The overshoot is inside the teach repeatability specification because the motion waits for settle, but it costs an estimated 20 to 40 wafers per hour of throughput. The four kilohertz Rev B controller is deferred to a follow-on revision.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Helios-3 End Effector Design Document</dc:title>
  <dc:subject/>
  <dc:creator>Tomas Lindqvist</dc:creator>
  <cp:keywords/>
  <dc:description>generated by python-docx</dc:description>
  <cp:lastModifiedBy>Tomas Lindqvist</cp:lastModifiedBy>
  <cp:revision>1</cp:revision>
  <dcterms:created xsi:type="dcterms:W3CDTF">2026-03-06T17:20:00Z</dcterms:created>
  <dcterms:modified xsi:type="dcterms:W3CDTF">2026-03-06T17:20:00Z</dcterms:modified>
  <cp:category/>
</cp:coreProperties>
</file>