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Helios-3 SEMI S2/S8 Certification Plan</w:t>
      </w:r>
    </w:p>
    <w:p>
      <w:r>
        <w:t>Author: Claire Dubois</w:t>
      </w:r>
    </w:p>
    <w:p>
      <w:r>
        <w:t>Date: 2026-04-17</w:t>
      </w:r>
    </w:p>
    <w:p>
      <w:r>
        <w:t>Includes the results of the paper pre-assessment carried out in April 2026 against the SEMI S2 checklist, ahead of the production-intent build.</w:t>
      </w:r>
    </w:p>
    <w:p>
      <w:pPr>
        <w:pStyle w:val="Heading2"/>
      </w:pPr>
      <w:r>
        <w:t>1. Scope of certification</w:t>
      </w:r>
    </w:p>
    <w:p>
      <w:pPr>
        <w:pStyle w:val="ListBullet"/>
      </w:pPr>
      <w:r>
        <w:t>SEMI S2 environmental, health and safety evaluation of the Helios-3 EFEM.</w:t>
      </w:r>
    </w:p>
    <w:p>
      <w:pPr>
        <w:pStyle w:val="ListBullet"/>
      </w:pPr>
      <w:r>
        <w:t>SEMI S8 ergonomics, evaluated in the same pass.</w:t>
      </w:r>
    </w:p>
    <w:p>
      <w:pPr>
        <w:pStyle w:val="ListBullet"/>
      </w:pPr>
      <w:r>
        <w:t>CE marking for European shipments: machinery directive and EMC directive, reusing the S2 technical file where permitted.</w:t>
      </w:r>
    </w:p>
    <w:p>
      <w:pPr>
        <w:pStyle w:val="Heading2"/>
      </w:pPr>
      <w:r>
        <w:t>2.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Planned date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</w:tr>
      <w:tr>
        <w:tc>
          <w:tcPr>
            <w:tcW w:type="dxa" w:w="2880"/>
          </w:tcPr>
          <w:p>
            <w:r>
              <w:t>Paper pre-assessment complete</w:t>
            </w:r>
          </w:p>
        </w:tc>
        <w:tc>
          <w:tcPr>
            <w:tcW w:type="dxa" w:w="2880"/>
          </w:tcPr>
          <w:p>
            <w:r>
              <w:t>2026-04-17</w:t>
            </w:r>
          </w:p>
        </w:tc>
        <w:tc>
          <w:tcPr>
            <w:tcW w:type="dxa" w:w="2880"/>
          </w:tcPr>
          <w:p>
            <w:r>
              <w:t>Drawing set</w:t>
            </w:r>
          </w:p>
        </w:tc>
      </w:tr>
      <w:tr>
        <w:tc>
          <w:tcPr>
            <w:tcW w:type="dxa" w:w="2880"/>
          </w:tcPr>
          <w:p>
            <w:r>
              <w:t>Production-intent build in cleanroom</w:t>
            </w:r>
          </w:p>
        </w:tc>
        <w:tc>
          <w:tcPr>
            <w:tcW w:type="dxa" w:w="2880"/>
          </w:tcPr>
          <w:p>
            <w:r>
              <w:t>2026-06-30</w:t>
            </w:r>
          </w:p>
        </w:tc>
        <w:tc>
          <w:tcPr>
            <w:tcW w:type="dxa" w:w="2880"/>
          </w:tcPr>
          <w:p>
            <w:r>
              <w:t>Long lead parts</w:t>
            </w:r>
          </w:p>
        </w:tc>
      </w:tr>
      <w:tr>
        <w:tc>
          <w:tcPr>
            <w:tcW w:type="dxa" w:w="2880"/>
          </w:tcPr>
          <w:p>
            <w:r>
              <w:t>On-tool evaluation</w:t>
            </w:r>
          </w:p>
        </w:tc>
        <w:tc>
          <w:tcPr>
            <w:tcW w:type="dxa" w:w="2880"/>
          </w:tcPr>
          <w:p>
            <w:r>
              <w:t>July 2026</w:t>
            </w:r>
          </w:p>
        </w:tc>
        <w:tc>
          <w:tcPr>
            <w:tcW w:type="dxa" w:w="2880"/>
          </w:tcPr>
          <w:p>
            <w:r>
              <w:t>Machine availability</w:t>
            </w:r>
          </w:p>
        </w:tc>
      </w:tr>
      <w:tr>
        <w:tc>
          <w:tcPr>
            <w:tcW w:type="dxa" w:w="2880"/>
          </w:tcPr>
          <w:p>
            <w:r>
              <w:t>Third party assessor on site</w:t>
            </w:r>
          </w:p>
        </w:tc>
        <w:tc>
          <w:tcPr>
            <w:tcW w:type="dxa" w:w="2880"/>
          </w:tcPr>
          <w:p>
            <w:r>
              <w:t>2026-08-10</w:t>
            </w:r>
          </w:p>
        </w:tc>
        <w:tc>
          <w:tcPr>
            <w:tcW w:type="dxa" w:w="2880"/>
          </w:tcPr>
          <w:p>
            <w:r>
              <w:t>Slot held, deposit paid</w:t>
            </w:r>
          </w:p>
        </w:tc>
      </w:tr>
      <w:tr>
        <w:tc>
          <w:tcPr>
            <w:tcW w:type="dxa" w:w="2880"/>
          </w:tcPr>
          <w:p>
            <w:r>
              <w:t>S2 report signed</w:t>
            </w:r>
          </w:p>
        </w:tc>
        <w:tc>
          <w:tcPr>
            <w:tcW w:type="dxa" w:w="2880"/>
          </w:tcPr>
          <w:p>
            <w:r>
              <w:t>2026-08-28</w:t>
            </w:r>
          </w:p>
        </w:tc>
        <w:tc>
          <w:tcPr>
            <w:tcW w:type="dxa" w:w="2880"/>
          </w:tcPr>
          <w:p>
            <w:r>
              <w:t>No major findings</w:t>
            </w:r>
          </w:p>
        </w:tc>
      </w:tr>
      <w:tr>
        <w:tc>
          <w:tcPr>
            <w:tcW w:type="dxa" w:w="2880"/>
          </w:tcPr>
          <w:p>
            <w:r>
              <w:t>EMC test at accredited lab</w:t>
            </w:r>
          </w:p>
        </w:tc>
        <w:tc>
          <w:tcPr>
            <w:tcW w:type="dxa" w:w="2880"/>
          </w:tcPr>
          <w:p>
            <w:r>
              <w:t>2026-07-21</w:t>
            </w:r>
          </w:p>
        </w:tc>
        <w:tc>
          <w:tcPr>
            <w:tcW w:type="dxa" w:w="2880"/>
          </w:tcPr>
          <w:p>
            <w:r>
              <w:t>Provisional booking</w:t>
            </w:r>
          </w:p>
        </w:tc>
      </w:tr>
    </w:tbl>
    <w:p>
      <w:r>
        <w:t>The assessor slot was booked in March at a deposit of USD 4,000, forfeited if the date moves. Booking eight weeks ahead of a machine that did not yet exist was a deliberate decision taken on 12 March 2026.</w:t>
      </w:r>
    </w:p>
    <w:p>
      <w:pPr>
        <w:pStyle w:val="Heading2"/>
      </w:pPr>
      <w:r>
        <w:t>3. Pre-assessment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</w:t>
            </w:r>
          </w:p>
        </w:tc>
        <w:tc>
          <w:tcPr>
            <w:tcW w:type="dxa" w:w="1728"/>
          </w:tcPr>
          <w:p>
            <w:r>
              <w:t>Section</w:t>
            </w:r>
          </w:p>
        </w:tc>
        <w:tc>
          <w:tcPr>
            <w:tcW w:type="dxa" w:w="1728"/>
          </w:tcPr>
          <w:p>
            <w:r>
              <w:t>Finding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PA-01</w:t>
            </w:r>
          </w:p>
        </w:tc>
        <w:tc>
          <w:tcPr>
            <w:tcW w:type="dxa" w:w="1728"/>
          </w:tcPr>
          <w:p>
            <w:r>
              <w:t>Hazardous energy isolation</w:t>
            </w:r>
          </w:p>
        </w:tc>
        <w:tc>
          <w:tcPr>
            <w:tcW w:type="dxa" w:w="1728"/>
          </w:tcPr>
          <w:p>
            <w:r>
              <w:t>Vacuum generator supply not covered by the main disconnect</w:t>
            </w:r>
          </w:p>
        </w:tc>
        <w:tc>
          <w:tcPr>
            <w:tcW w:type="dxa" w:w="1728"/>
          </w:tcPr>
          <w:p>
            <w:r>
              <w:t>Major</w:t>
            </w:r>
          </w:p>
        </w:tc>
        <w:tc>
          <w:tcPr>
            <w:tcW w:type="dxa" w:w="1728"/>
          </w:tcPr>
          <w:p>
            <w:r>
              <w:t>Closed in Rev D drawings</w:t>
            </w:r>
          </w:p>
        </w:tc>
      </w:tr>
      <w:tr>
        <w:tc>
          <w:tcPr>
            <w:tcW w:type="dxa" w:w="1728"/>
          </w:tcPr>
          <w:p>
            <w:r>
              <w:t>PA-02</w:t>
            </w:r>
          </w:p>
        </w:tc>
        <w:tc>
          <w:tcPr>
            <w:tcW w:type="dxa" w:w="1728"/>
          </w:tcPr>
          <w:p>
            <w:r>
              <w:t>Safeguarding</w:t>
            </w:r>
          </w:p>
        </w:tc>
        <w:tc>
          <w:tcPr>
            <w:tcW w:type="dxa" w:w="1728"/>
          </w:tcPr>
          <w:p>
            <w:r>
              <w:t>Interlocks fully bypassed in teach mode; arm can move at full speed</w:t>
            </w:r>
          </w:p>
        </w:tc>
        <w:tc>
          <w:tcPr>
            <w:tcW w:type="dxa" w:w="1728"/>
          </w:tcPr>
          <w:p>
            <w:r>
              <w:t>Major</w:t>
            </w:r>
          </w:p>
        </w:tc>
        <w:tc>
          <w:tcPr>
            <w:tcW w:type="dxa" w:w="1728"/>
          </w:tcPr>
          <w:p>
            <w:r>
              <w:t>Closed: reduced speed enforced in firmware plus hold-to-run pendant</w:t>
            </w:r>
          </w:p>
        </w:tc>
      </w:tr>
      <w:tr>
        <w:tc>
          <w:tcPr>
            <w:tcW w:type="dxa" w:w="1728"/>
          </w:tcPr>
          <w:p>
            <w:r>
              <w:t>PA-03</w:t>
            </w:r>
          </w:p>
        </w:tc>
        <w:tc>
          <w:tcPr>
            <w:tcW w:type="dxa" w:w="1728"/>
          </w:tcPr>
          <w:p>
            <w:r>
              <w:t>Seismic</w:t>
            </w:r>
          </w:p>
        </w:tc>
        <w:tc>
          <w:tcPr>
            <w:tcW w:type="dxa" w:w="1728"/>
          </w:tcPr>
          <w:p>
            <w:r>
              <w:t>Restraint calculation not signed by a structural engineer</w:t>
            </w:r>
          </w:p>
        </w:tc>
        <w:tc>
          <w:tcPr>
            <w:tcW w:type="dxa" w:w="1728"/>
          </w:tcPr>
          <w:p>
            <w:r>
              <w:t>Major</w:t>
            </w:r>
          </w:p>
        </w:tc>
        <w:tc>
          <w:tcPr>
            <w:tcW w:type="dxa" w:w="1728"/>
          </w:tcPr>
          <w:p>
            <w:r>
              <w:t>Open: engineering firm queue is three weeks</w:t>
            </w:r>
          </w:p>
        </w:tc>
      </w:tr>
      <w:tr>
        <w:tc>
          <w:tcPr>
            <w:tcW w:type="dxa" w:w="1728"/>
          </w:tcPr>
          <w:p>
            <w:r>
              <w:t>PA-04</w:t>
            </w:r>
          </w:p>
        </w:tc>
        <w:tc>
          <w:tcPr>
            <w:tcW w:type="dxa" w:w="1728"/>
          </w:tcPr>
          <w:p>
            <w:r>
              <w:t>Ergonomics (S8)</w:t>
            </w:r>
          </w:p>
        </w:tc>
        <w:tc>
          <w:tcPr>
            <w:tcW w:type="dxa" w:w="1728"/>
          </w:tcPr>
          <w:p>
            <w:r>
              <w:t>Load port teach position requires sustained overhead reach</w:t>
            </w:r>
          </w:p>
        </w:tc>
        <w:tc>
          <w:tcPr>
            <w:tcW w:type="dxa" w:w="1728"/>
          </w:tcPr>
          <w:p>
            <w:r>
              <w:t>Minor</w:t>
            </w:r>
          </w:p>
        </w:tc>
        <w:tc>
          <w:tcPr>
            <w:tcW w:type="dxa" w:w="1728"/>
          </w:tcPr>
          <w:p>
            <w:r>
              <w:t>Closed: service platform added</w:t>
            </w:r>
          </w:p>
        </w:tc>
      </w:tr>
      <w:tr>
        <w:tc>
          <w:tcPr>
            <w:tcW w:type="dxa" w:w="1728"/>
          </w:tcPr>
          <w:p>
            <w:r>
              <w:t>PA-05</w:t>
            </w:r>
          </w:p>
        </w:tc>
        <w:tc>
          <w:tcPr>
            <w:tcW w:type="dxa" w:w="1728"/>
          </w:tcPr>
          <w:p>
            <w:r>
              <w:t>Documentation</w:t>
            </w:r>
          </w:p>
        </w:tc>
        <w:tc>
          <w:tcPr>
            <w:tcW w:type="dxa" w:w="1728"/>
          </w:tcPr>
          <w:p>
            <w:r>
              <w:t>Material declarations missing for approximately 40 suppliers</w:t>
            </w:r>
          </w:p>
        </w:tc>
        <w:tc>
          <w:tcPr>
            <w:tcW w:type="dxa" w:w="1728"/>
          </w:tcPr>
          <w:p>
            <w:r>
              <w:t>Minor</w:t>
            </w:r>
          </w:p>
        </w:tc>
        <w:tc>
          <w:tcPr>
            <w:tcW w:type="dxa" w:w="1728"/>
          </w:tcPr>
          <w:p>
            <w:r>
              <w:t>Open: supply chain collecting</w:t>
            </w:r>
          </w:p>
        </w:tc>
      </w:tr>
      <w:tr>
        <w:tc>
          <w:tcPr>
            <w:tcW w:type="dxa" w:w="1728"/>
          </w:tcPr>
          <w:p>
            <w:r>
              <w:t>PA-06</w:t>
            </w:r>
          </w:p>
        </w:tc>
        <w:tc>
          <w:tcPr>
            <w:tcW w:type="dxa" w:w="1728"/>
          </w:tcPr>
          <w:p>
            <w:r>
              <w:t>Emergency off</w:t>
            </w:r>
          </w:p>
        </w:tc>
        <w:tc>
          <w:tcPr>
            <w:tcW w:type="dxa" w:w="1728"/>
          </w:tcPr>
          <w:p>
            <w:r>
              <w:t>EMO does not remove power from the ioniser</w:t>
            </w:r>
          </w:p>
        </w:tc>
        <w:tc>
          <w:tcPr>
            <w:tcW w:type="dxa" w:w="1728"/>
          </w:tcPr>
          <w:p>
            <w:r>
              <w:t>Minor</w:t>
            </w:r>
          </w:p>
        </w:tc>
        <w:tc>
          <w:tcPr>
            <w:tcW w:type="dxa" w:w="1728"/>
          </w:tcPr>
          <w:p>
            <w:r>
              <w:t>Closed in Rev D drawings</w:t>
            </w:r>
          </w:p>
        </w:tc>
      </w:tr>
    </w:tbl>
    <w:p>
      <w:r>
        <w:t>Fourteen findings were raised in the pre-assessment. Eleven were closed in the drawing set before the build, which is the entire purpose of running a paper pass in April rather than discovering the same findings on a built machine in August.</w:t>
      </w:r>
    </w:p>
    <w:p>
      <w:pPr>
        <w:pStyle w:val="Heading2"/>
      </w:pPr>
      <w:r>
        <w:t>4. Risk to the programme</w:t>
      </w:r>
    </w:p>
    <w:p>
      <w:r>
        <w:t>The certification schedule has no float. A major finding at the on-tool assessment implies a design change, a rebuild of the affected subsystem and a re-evaluation of that section, which adds three to five weeks. The single production-intent machine is shared between engineering verification and the S2 evaluation, and approximately three of the eight evaluation weeks require exclusive access to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Helios-3 SEMI S2/S8 Certification Plan</dc:title>
  <dc:subject/>
  <dc:creator>Claire Dubois</dc:creator>
  <cp:keywords/>
  <dc:description>generated by python-docx</dc:description>
  <cp:lastModifiedBy>Claire Dubois</cp:lastModifiedBy>
  <cp:revision>1</cp:revision>
  <dcterms:created xsi:type="dcterms:W3CDTF">2026-04-17T10:00:00Z</dcterms:created>
  <dcterms:modified xsi:type="dcterms:W3CDTF">2026-04-17T10:00:00Z</dcterms:modified>
  <cp:category/>
</cp:coreProperties>
</file>