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rFonts w:ascii="Times New Roman" w:hAnsi="Times New Roman" w:eastAsia="黑体"/>
          <w:b/>
          <w:color w:val="1F1F1F"/>
          <w:sz w:val="44"/>
        </w:rPr>
        <w:t>Python 应用开发基础</w:t>
      </w:r>
    </w:p>
    <w:p>
      <w:pPr>
        <w:spacing w:after="360"/>
        <w:jc w:val="center"/>
      </w:pPr>
      <w:r>
        <w:rPr>
          <w:rFonts w:ascii="Times New Roman" w:hAnsi="Times New Roman" w:eastAsia="黑体"/>
          <w:b/>
          <w:color w:val="1F1F1F"/>
          <w:sz w:val="52"/>
        </w:rPr>
        <w:t>课 程 报 告</w:t>
      </w:r>
    </w:p>
    <w:p>
      <w:pPr>
        <w:ind w:firstLine="0"/>
        <w:jc w:val="center"/>
      </w:pPr>
      <w:r>
        <w:drawing>
          <wp:inline xmlns:a="http://schemas.openxmlformats.org/drawingml/2006/main" xmlns:pic="http://schemas.openxmlformats.org/drawingml/2006/picture">
            <wp:extent cx="3566160" cy="2060448"/>
            <wp:docPr id="1" name="Picture 1"/>
            <wp:cNvGraphicFramePr>
              <a:graphicFrameLocks noChangeAspect="1"/>
            </wp:cNvGraphicFramePr>
            <a:graphic>
              <a:graphicData uri="http://schemas.openxmlformats.org/drawingml/2006/picture">
                <pic:pic>
                  <pic:nvPicPr>
                    <pic:cNvPr id="0" name="cover_icon.png"/>
                    <pic:cNvPicPr/>
                  </pic:nvPicPr>
                  <pic:blipFill>
                    <a:blip r:embed="rId11"/>
                    <a:stretch>
                      <a:fillRect/>
                    </a:stretch>
                  </pic:blipFill>
                  <pic:spPr>
                    <a:xfrm>
                      <a:off x="0" y="0"/>
                      <a:ext cx="3566160" cy="2060448"/>
                    </a:xfrm>
                    <a:prstGeom prst="rect"/>
                  </pic:spPr>
                </pic:pic>
              </a:graphicData>
            </a:graphic>
          </wp:inline>
        </w:drawing>
      </w:r>
    </w:p>
    <w:p>
      <w:pPr>
        <w:spacing w:after="240"/>
      </w:pPr>
    </w:p>
    <w:tbl>
      <w:tblPr>
        <w:tblW w:type="auto" w:w="0"/>
        <w:jc w:val="center"/>
        <w:tblLayout w:type="fixed"/>
        <w:tblLook w:firstColumn="1" w:firstRow="1" w:lastColumn="0" w:lastRow="0" w:noHBand="0" w:noVBand="1" w:val="04A0"/>
      </w:tblPr>
      <w:tblGrid>
        <w:gridCol w:w="4592"/>
        <w:gridCol w:w="4592"/>
      </w:tblGrid>
      <w:tr>
        <w:tc>
          <w:tcPr>
            <w:tcW w:type="dxa" w:w="1872"/>
            <w:tcMar>
              <w:top w:w="120" w:type="dxa"/>
              <w:start w:w="130" w:type="dxa"/>
              <w:bottom w:w="120" w:type="dxa"/>
              <w:end w:w="130" w:type="dxa"/>
            </w:tcMar>
            <w:vAlign w:val="center"/>
            <w:tcBorders/>
          </w:tcPr>
          <w:p>
            <w:pPr>
              <w:ind w:firstLine="0"/>
              <w:jc w:val="right"/>
            </w:pPr>
            <w:r>
              <w:rPr>
                <w:rFonts w:ascii="Times New Roman" w:hAnsi="Times New Roman" w:eastAsia="黑体"/>
                <w:b/>
                <w:color w:val="1F1F1F"/>
                <w:sz w:val="26"/>
              </w:rPr>
              <w:t>题目：</w:t>
            </w:r>
          </w:p>
        </w:tc>
        <w:tc>
          <w:tcPr>
            <w:tcW w:type="dxa" w:w="6336"/>
            <w:tcMar>
              <w:top w:w="120" w:type="dxa"/>
              <w:start w:w="130" w:type="dxa"/>
              <w:bottom w:w="120" w:type="dxa"/>
              <w:end w:w="130" w:type="dxa"/>
            </w:tcMar>
            <w:vAlign w:val="center"/>
            <w:tcBorders/>
          </w:tcPr>
          <w:p>
            <w:pPr>
              <w:ind w:firstLine="0"/>
              <w:jc w:val="left"/>
            </w:pPr>
            <w:r>
              <w:rPr>
                <w:rFonts w:ascii="Times New Roman" w:hAnsi="Times New Roman" w:eastAsia="宋体"/>
                <w:b w:val="0"/>
                <w:color w:val="1F1F1F"/>
                <w:sz w:val="26"/>
              </w:rPr>
              <w:t>抑郁倾向识别平台</w:t>
            </w:r>
          </w:p>
        </w:tc>
      </w:tr>
      <w:tr>
        <w:tc>
          <w:tcPr>
            <w:tcW w:type="dxa" w:w="1872"/>
            <w:tcMar>
              <w:top w:w="120" w:type="dxa"/>
              <w:start w:w="130" w:type="dxa"/>
              <w:bottom w:w="120" w:type="dxa"/>
              <w:end w:w="130" w:type="dxa"/>
            </w:tcMar>
            <w:vAlign w:val="center"/>
            <w:tcBorders/>
          </w:tcPr>
          <w:p>
            <w:pPr>
              <w:ind w:firstLine="0"/>
              <w:jc w:val="right"/>
            </w:pPr>
            <w:r>
              <w:rPr>
                <w:rFonts w:ascii="Times New Roman" w:hAnsi="Times New Roman" w:eastAsia="黑体"/>
                <w:b/>
                <w:color w:val="1F1F1F"/>
                <w:sz w:val="26"/>
              </w:rPr>
              <w:t>组号：</w:t>
            </w:r>
          </w:p>
        </w:tc>
        <w:tc>
          <w:tcPr>
            <w:tcW w:type="dxa" w:w="6336"/>
            <w:tcMar>
              <w:top w:w="120" w:type="dxa"/>
              <w:start w:w="130" w:type="dxa"/>
              <w:bottom w:w="120" w:type="dxa"/>
              <w:end w:w="130" w:type="dxa"/>
            </w:tcMar>
            <w:vAlign w:val="center"/>
            <w:tcBorders/>
          </w:tcPr>
          <w:p>
            <w:pPr>
              <w:ind w:firstLine="0"/>
              <w:jc w:val="left"/>
            </w:pPr>
            <w:r>
              <w:rPr>
                <w:rFonts w:ascii="Times New Roman" w:hAnsi="Times New Roman" w:eastAsia="宋体"/>
                <w:b w:val="0"/>
                <w:color w:val="1F1F1F"/>
                <w:sz w:val="26"/>
              </w:rPr>
              <w:t>第 7 组</w:t>
            </w:r>
          </w:p>
        </w:tc>
      </w:tr>
      <w:tr>
        <w:tc>
          <w:tcPr>
            <w:tcW w:type="dxa" w:w="1872"/>
            <w:tcMar>
              <w:top w:w="120" w:type="dxa"/>
              <w:start w:w="130" w:type="dxa"/>
              <w:bottom w:w="120" w:type="dxa"/>
              <w:end w:w="130" w:type="dxa"/>
            </w:tcMar>
            <w:vAlign w:val="center"/>
            <w:tcBorders/>
          </w:tcPr>
          <w:p>
            <w:pPr>
              <w:ind w:firstLine="0"/>
              <w:jc w:val="right"/>
            </w:pPr>
            <w:r>
              <w:rPr>
                <w:rFonts w:ascii="Times New Roman" w:hAnsi="Times New Roman" w:eastAsia="黑体"/>
                <w:b/>
                <w:color w:val="1F1F1F"/>
                <w:sz w:val="26"/>
              </w:rPr>
              <w:t>成员：</w:t>
            </w:r>
          </w:p>
        </w:tc>
        <w:tc>
          <w:tcPr>
            <w:tcW w:type="dxa" w:w="6336"/>
            <w:tcMar>
              <w:top w:w="120" w:type="dxa"/>
              <w:start w:w="130" w:type="dxa"/>
              <w:bottom w:w="120" w:type="dxa"/>
              <w:end w:w="130" w:type="dxa"/>
            </w:tcMar>
            <w:vAlign w:val="center"/>
            <w:tcBorders/>
          </w:tcPr>
          <w:p>
            <w:pPr>
              <w:ind w:firstLine="0"/>
              <w:jc w:val="left"/>
            </w:pPr>
            <w:r>
              <w:rPr>
                <w:rFonts w:ascii="Times New Roman" w:hAnsi="Times New Roman" w:eastAsia="宋体"/>
                <w:b w:val="0"/>
                <w:color w:val="1F1F1F"/>
                <w:sz w:val="26"/>
              </w:rPr>
              <w:t>任冉、萧准</w:t>
            </w:r>
          </w:p>
        </w:tc>
      </w:tr>
      <w:tr>
        <w:tc>
          <w:tcPr>
            <w:tcW w:type="dxa" w:w="1872"/>
            <w:tcMar>
              <w:top w:w="120" w:type="dxa"/>
              <w:start w:w="130" w:type="dxa"/>
              <w:bottom w:w="120" w:type="dxa"/>
              <w:end w:w="130" w:type="dxa"/>
            </w:tcMar>
            <w:vAlign w:val="center"/>
            <w:tcBorders/>
          </w:tcPr>
          <w:p>
            <w:pPr>
              <w:ind w:firstLine="0"/>
              <w:jc w:val="right"/>
            </w:pPr>
            <w:r>
              <w:rPr>
                <w:rFonts w:ascii="Times New Roman" w:hAnsi="Times New Roman" w:eastAsia="黑体"/>
                <w:b/>
                <w:color w:val="1F1F1F"/>
                <w:sz w:val="26"/>
              </w:rPr>
              <w:t>指导教师：</w:t>
            </w:r>
          </w:p>
        </w:tc>
        <w:tc>
          <w:tcPr>
            <w:tcW w:type="dxa" w:w="6336"/>
            <w:tcMar>
              <w:top w:w="120" w:type="dxa"/>
              <w:start w:w="130" w:type="dxa"/>
              <w:bottom w:w="120" w:type="dxa"/>
              <w:end w:w="130" w:type="dxa"/>
            </w:tcMar>
            <w:vAlign w:val="center"/>
            <w:tcBorders/>
          </w:tcPr>
          <w:p>
            <w:pPr>
              <w:ind w:firstLine="0"/>
              <w:jc w:val="left"/>
            </w:pPr>
            <w:r>
              <w:rPr>
                <w:rFonts w:ascii="Times New Roman" w:hAnsi="Times New Roman" w:eastAsia="宋体"/>
                <w:b w:val="0"/>
                <w:color w:val="1F1F1F"/>
                <w:sz w:val="26"/>
              </w:rPr>
              <w:t>雷杰</w:t>
            </w:r>
          </w:p>
        </w:tc>
      </w:tr>
    </w:tbl>
    <w:p>
      <w:pPr>
        <w:spacing w:before="560"/>
        <w:jc w:val="center"/>
      </w:pPr>
      <w:r>
        <w:rPr>
          <w:rFonts w:ascii="Times New Roman" w:hAnsi="Times New Roman" w:eastAsia="宋体"/>
          <w:b w:val="0"/>
          <w:color w:val="1F1F1F"/>
          <w:sz w:val="26"/>
        </w:rPr>
        <w:t>2026 年 6 月 8 日</w:t>
      </w:r>
    </w:p>
    <w:p>
      <w:pPr>
        <w:sectPr>
          <w:headerReference w:type="default" r:id="rId9"/>
          <w:footerReference w:type="default" r:id="rId10"/>
          <w:pgSz w:w="11906" w:h="16838"/>
          <w:pgMar w:top="1361" w:right="1304" w:bottom="1247" w:left="1417" w:header="680" w:footer="680" w:gutter="0"/>
          <w:cols w:space="720"/>
          <w:docGrid w:linePitch="360"/>
        </w:sectPr>
      </w:pPr>
    </w:p>
    <w:p>
      <w:pPr>
        <w:spacing w:after="400"/>
        <w:jc w:val="center"/>
      </w:pPr>
      <w:r>
        <w:rPr>
          <w:rFonts w:ascii="Times New Roman" w:hAnsi="Times New Roman" w:eastAsia="黑体"/>
          <w:b/>
          <w:color w:val="1F1F1F"/>
          <w:sz w:val="36"/>
        </w:rPr>
        <w:t>目  录</w:t>
      </w:r>
    </w:p>
    <w:p>
      <w:pPr>
        <w:ind w:firstLine="0"/>
      </w:pPr>
      <w:r>
        <w:fldChar w:fldCharType="begin"/>
        <w:instrText xml:space="preserve">TOC \o "1-3" \h \z \u</w:instrText>
        <w:fldChar w:fldCharType="separate"/>
      </w:r>
    </w:p>
    <w:p>
      <w:pPr>
        <w:tabs>
          <w:tab w:pos="8674" w:val="left"/>
        </w:tabs>
        <w:spacing w:after="30" w:line="240" w:lineRule="auto"/>
        <w:ind w:firstLine="0" w:left="0"/>
      </w:pPr>
      <w:r>
        <w:rPr>
          <w:rFonts w:ascii="Times New Roman" w:hAnsi="Times New Roman" w:eastAsia="黑体"/>
          <w:b/>
          <w:color w:val="1F1F1F"/>
          <w:sz w:val="19"/>
        </w:rPr>
        <w:t>一、项目介绍</w:t>
      </w:r>
      <w:r>
        <w:rPr>
          <w:rFonts w:ascii="Times New Roman" w:hAnsi="Times New Roman" w:eastAsia="宋体"/>
          <w:b/>
          <w:color w:val="1F1F1F"/>
          <w:sz w:val="19"/>
        </w:rPr>
        <w:tab/>
        <w:t>1</w:t>
      </w:r>
    </w:p>
    <w:p>
      <w:pPr>
        <w:tabs>
          <w:tab w:pos="8674" w:val="left"/>
        </w:tabs>
        <w:spacing w:after="30" w:line="240" w:lineRule="auto"/>
        <w:ind w:firstLine="0" w:left="369"/>
      </w:pPr>
      <w:r>
        <w:rPr>
          <w:rFonts w:ascii="Times New Roman" w:hAnsi="Times New Roman" w:eastAsia="宋体"/>
          <w:b w:val="0"/>
          <w:color w:val="1F1F1F"/>
          <w:sz w:val="19"/>
        </w:rPr>
        <w:t>1.1 项目摘要</w:t>
      </w:r>
      <w:r>
        <w:rPr>
          <w:rFonts w:ascii="Times New Roman" w:hAnsi="Times New Roman" w:eastAsia="宋体"/>
          <w:b w:val="0"/>
          <w:color w:val="1F1F1F"/>
          <w:sz w:val="19"/>
        </w:rPr>
        <w:tab/>
        <w:t>1</w:t>
      </w:r>
    </w:p>
    <w:p>
      <w:pPr>
        <w:tabs>
          <w:tab w:pos="8674" w:val="left"/>
        </w:tabs>
        <w:spacing w:after="30" w:line="240" w:lineRule="auto"/>
        <w:ind w:firstLine="0" w:left="369"/>
      </w:pPr>
      <w:r>
        <w:rPr>
          <w:rFonts w:ascii="Times New Roman" w:hAnsi="Times New Roman" w:eastAsia="宋体"/>
          <w:b w:val="0"/>
          <w:color w:val="1F1F1F"/>
          <w:sz w:val="19"/>
        </w:rPr>
        <w:t>1.2 项目背景</w:t>
      </w:r>
      <w:r>
        <w:rPr>
          <w:rFonts w:ascii="Times New Roman" w:hAnsi="Times New Roman" w:eastAsia="宋体"/>
          <w:b w:val="0"/>
          <w:color w:val="1F1F1F"/>
          <w:sz w:val="19"/>
        </w:rPr>
        <w:tab/>
        <w:t>1</w:t>
      </w:r>
    </w:p>
    <w:p>
      <w:pPr>
        <w:tabs>
          <w:tab w:pos="8674" w:val="left"/>
        </w:tabs>
        <w:spacing w:after="30" w:line="240" w:lineRule="auto"/>
        <w:ind w:firstLine="0" w:left="369"/>
      </w:pPr>
      <w:r>
        <w:rPr>
          <w:rFonts w:ascii="Times New Roman" w:hAnsi="Times New Roman" w:eastAsia="宋体"/>
          <w:b w:val="0"/>
          <w:color w:val="1F1F1F"/>
          <w:sz w:val="19"/>
        </w:rPr>
        <w:t>1.3 项目难点</w:t>
      </w:r>
      <w:r>
        <w:rPr>
          <w:rFonts w:ascii="Times New Roman" w:hAnsi="Times New Roman" w:eastAsia="宋体"/>
          <w:b w:val="0"/>
          <w:color w:val="1F1F1F"/>
          <w:sz w:val="19"/>
        </w:rPr>
        <w:tab/>
        <w:t>2</w:t>
      </w:r>
    </w:p>
    <w:p>
      <w:pPr>
        <w:tabs>
          <w:tab w:pos="8674" w:val="left"/>
        </w:tabs>
        <w:spacing w:after="30" w:line="240" w:lineRule="auto"/>
        <w:ind w:firstLine="0" w:left="369"/>
      </w:pPr>
      <w:r>
        <w:rPr>
          <w:rFonts w:ascii="Times New Roman" w:hAnsi="Times New Roman" w:eastAsia="宋体"/>
          <w:b w:val="0"/>
          <w:color w:val="1F1F1F"/>
          <w:sz w:val="19"/>
        </w:rPr>
        <w:t>1.4 项目特色分析</w:t>
      </w:r>
      <w:r>
        <w:rPr>
          <w:rFonts w:ascii="Times New Roman" w:hAnsi="Times New Roman" w:eastAsia="宋体"/>
          <w:b w:val="0"/>
          <w:color w:val="1F1F1F"/>
          <w:sz w:val="19"/>
        </w:rPr>
        <w:tab/>
        <w:t>2</w:t>
      </w:r>
    </w:p>
    <w:p>
      <w:pPr>
        <w:tabs>
          <w:tab w:pos="8674" w:val="left"/>
        </w:tabs>
        <w:spacing w:after="30" w:line="240" w:lineRule="auto"/>
        <w:ind w:firstLine="0" w:left="369"/>
      </w:pPr>
      <w:r>
        <w:rPr>
          <w:rFonts w:ascii="Times New Roman" w:hAnsi="Times New Roman" w:eastAsia="宋体"/>
          <w:b w:val="0"/>
          <w:color w:val="1F1F1F"/>
          <w:sz w:val="19"/>
        </w:rPr>
        <w:t>1.5 团队组织与分工</w:t>
      </w:r>
      <w:r>
        <w:rPr>
          <w:rFonts w:ascii="Times New Roman" w:hAnsi="Times New Roman" w:eastAsia="宋体"/>
          <w:b w:val="0"/>
          <w:color w:val="1F1F1F"/>
          <w:sz w:val="19"/>
        </w:rPr>
        <w:tab/>
        <w:t>2</w:t>
      </w:r>
    </w:p>
    <w:p>
      <w:pPr>
        <w:tabs>
          <w:tab w:pos="8674" w:val="left"/>
        </w:tabs>
        <w:spacing w:after="30" w:line="240" w:lineRule="auto"/>
        <w:ind w:firstLine="0" w:left="0"/>
      </w:pPr>
      <w:r>
        <w:rPr>
          <w:rFonts w:ascii="Times New Roman" w:hAnsi="Times New Roman" w:eastAsia="黑体"/>
          <w:b/>
          <w:color w:val="1F1F1F"/>
          <w:sz w:val="19"/>
        </w:rPr>
        <w:t>二、需求分析</w:t>
      </w:r>
      <w:r>
        <w:rPr>
          <w:rFonts w:ascii="Times New Roman" w:hAnsi="Times New Roman" w:eastAsia="宋体"/>
          <w:b/>
          <w:color w:val="1F1F1F"/>
          <w:sz w:val="19"/>
        </w:rPr>
        <w:tab/>
        <w:t>3</w:t>
      </w:r>
    </w:p>
    <w:p>
      <w:pPr>
        <w:tabs>
          <w:tab w:pos="8674" w:val="left"/>
        </w:tabs>
        <w:spacing w:after="30" w:line="240" w:lineRule="auto"/>
        <w:ind w:firstLine="0" w:left="369"/>
      </w:pPr>
      <w:r>
        <w:rPr>
          <w:rFonts w:ascii="Times New Roman" w:hAnsi="Times New Roman" w:eastAsia="宋体"/>
          <w:b w:val="0"/>
          <w:color w:val="1F1F1F"/>
          <w:sz w:val="19"/>
        </w:rPr>
        <w:t>2.1 需求调研</w:t>
      </w:r>
      <w:r>
        <w:rPr>
          <w:rFonts w:ascii="Times New Roman" w:hAnsi="Times New Roman" w:eastAsia="宋体"/>
          <w:b w:val="0"/>
          <w:color w:val="1F1F1F"/>
          <w:sz w:val="19"/>
        </w:rPr>
        <w:tab/>
        <w:t>3</w:t>
      </w:r>
    </w:p>
    <w:p>
      <w:pPr>
        <w:tabs>
          <w:tab w:pos="8674" w:val="left"/>
        </w:tabs>
        <w:spacing w:after="30" w:line="240" w:lineRule="auto"/>
        <w:ind w:firstLine="0" w:left="369"/>
      </w:pPr>
      <w:r>
        <w:rPr>
          <w:rFonts w:ascii="Times New Roman" w:hAnsi="Times New Roman" w:eastAsia="宋体"/>
          <w:b w:val="0"/>
          <w:color w:val="1F1F1F"/>
          <w:sz w:val="19"/>
        </w:rPr>
        <w:t>2.2 功能性需求</w:t>
      </w:r>
      <w:r>
        <w:rPr>
          <w:rFonts w:ascii="Times New Roman" w:hAnsi="Times New Roman" w:eastAsia="宋体"/>
          <w:b w:val="0"/>
          <w:color w:val="1F1F1F"/>
          <w:sz w:val="19"/>
        </w:rPr>
        <w:tab/>
        <w:t>4</w:t>
      </w:r>
    </w:p>
    <w:p>
      <w:pPr>
        <w:tabs>
          <w:tab w:pos="8674" w:val="left"/>
        </w:tabs>
        <w:spacing w:after="30" w:line="240" w:lineRule="auto"/>
        <w:ind w:firstLine="0" w:left="369"/>
      </w:pPr>
      <w:r>
        <w:rPr>
          <w:rFonts w:ascii="Times New Roman" w:hAnsi="Times New Roman" w:eastAsia="宋体"/>
          <w:b w:val="0"/>
          <w:color w:val="1F1F1F"/>
          <w:sz w:val="19"/>
        </w:rPr>
        <w:t>2.3 非功能性需求</w:t>
      </w:r>
      <w:r>
        <w:rPr>
          <w:rFonts w:ascii="Times New Roman" w:hAnsi="Times New Roman" w:eastAsia="宋体"/>
          <w:b w:val="0"/>
          <w:color w:val="1F1F1F"/>
          <w:sz w:val="19"/>
        </w:rPr>
        <w:tab/>
        <w:t>7</w:t>
      </w:r>
    </w:p>
    <w:p>
      <w:pPr>
        <w:tabs>
          <w:tab w:pos="8674" w:val="left"/>
        </w:tabs>
        <w:spacing w:after="30" w:line="240" w:lineRule="auto"/>
        <w:ind w:firstLine="0" w:left="0"/>
      </w:pPr>
      <w:r>
        <w:rPr>
          <w:rFonts w:ascii="Times New Roman" w:hAnsi="Times New Roman" w:eastAsia="黑体"/>
          <w:b/>
          <w:color w:val="1F1F1F"/>
          <w:sz w:val="19"/>
        </w:rPr>
        <w:t>三、技术路线及实现</w:t>
      </w:r>
      <w:r>
        <w:rPr>
          <w:rFonts w:ascii="Times New Roman" w:hAnsi="Times New Roman" w:eastAsia="宋体"/>
          <w:b/>
          <w:color w:val="1F1F1F"/>
          <w:sz w:val="19"/>
        </w:rPr>
        <w:tab/>
        <w:t>8</w:t>
      </w:r>
    </w:p>
    <w:p>
      <w:pPr>
        <w:tabs>
          <w:tab w:pos="8674" w:val="left"/>
        </w:tabs>
        <w:spacing w:after="30" w:line="240" w:lineRule="auto"/>
        <w:ind w:firstLine="0" w:left="369"/>
      </w:pPr>
      <w:r>
        <w:rPr>
          <w:rFonts w:ascii="Times New Roman" w:hAnsi="Times New Roman" w:eastAsia="宋体"/>
          <w:b w:val="0"/>
          <w:color w:val="1F1F1F"/>
          <w:sz w:val="19"/>
        </w:rPr>
        <w:t>3.1 系统环境</w:t>
      </w:r>
      <w:r>
        <w:rPr>
          <w:rFonts w:ascii="Times New Roman" w:hAnsi="Times New Roman" w:eastAsia="宋体"/>
          <w:b w:val="0"/>
          <w:color w:val="1F1F1F"/>
          <w:sz w:val="19"/>
        </w:rPr>
        <w:tab/>
        <w:t>8</w:t>
      </w:r>
    </w:p>
    <w:p>
      <w:pPr>
        <w:tabs>
          <w:tab w:pos="8674" w:val="left"/>
        </w:tabs>
        <w:spacing w:after="30" w:line="240" w:lineRule="auto"/>
        <w:ind w:firstLine="0" w:left="369"/>
      </w:pPr>
      <w:r>
        <w:rPr>
          <w:rFonts w:ascii="Times New Roman" w:hAnsi="Times New Roman" w:eastAsia="宋体"/>
          <w:b w:val="0"/>
          <w:color w:val="1F1F1F"/>
          <w:sz w:val="19"/>
        </w:rPr>
        <w:t>3.2 系统总体架构</w:t>
      </w:r>
      <w:r>
        <w:rPr>
          <w:rFonts w:ascii="Times New Roman" w:hAnsi="Times New Roman" w:eastAsia="宋体"/>
          <w:b w:val="0"/>
          <w:color w:val="1F1F1F"/>
          <w:sz w:val="19"/>
        </w:rPr>
        <w:tab/>
        <w:t>9</w:t>
      </w:r>
    </w:p>
    <w:p>
      <w:pPr>
        <w:tabs>
          <w:tab w:pos="8674" w:val="left"/>
        </w:tabs>
        <w:spacing w:after="30" w:line="240" w:lineRule="auto"/>
        <w:ind w:firstLine="0" w:left="369"/>
      </w:pPr>
      <w:r>
        <w:rPr>
          <w:rFonts w:ascii="Times New Roman" w:hAnsi="Times New Roman" w:eastAsia="宋体"/>
          <w:b w:val="0"/>
          <w:color w:val="1F1F1F"/>
          <w:sz w:val="19"/>
        </w:rPr>
        <w:t>3.3 数据采集与质量控制</w:t>
      </w:r>
      <w:r>
        <w:rPr>
          <w:rFonts w:ascii="Times New Roman" w:hAnsi="Times New Roman" w:eastAsia="宋体"/>
          <w:b w:val="0"/>
          <w:color w:val="1F1F1F"/>
          <w:sz w:val="19"/>
        </w:rPr>
        <w:tab/>
        <w:t>10</w:t>
      </w:r>
    </w:p>
    <w:p>
      <w:pPr>
        <w:tabs>
          <w:tab w:pos="8674" w:val="left"/>
        </w:tabs>
        <w:spacing w:after="30" w:line="240" w:lineRule="auto"/>
        <w:ind w:firstLine="0" w:left="369"/>
      </w:pPr>
      <w:r>
        <w:rPr>
          <w:rFonts w:ascii="Times New Roman" w:hAnsi="Times New Roman" w:eastAsia="宋体"/>
          <w:b w:val="0"/>
          <w:color w:val="1F1F1F"/>
          <w:sz w:val="19"/>
        </w:rPr>
        <w:t>3.4 特征工程</w:t>
      </w:r>
      <w:r>
        <w:rPr>
          <w:rFonts w:ascii="Times New Roman" w:hAnsi="Times New Roman" w:eastAsia="宋体"/>
          <w:b w:val="0"/>
          <w:color w:val="1F1F1F"/>
          <w:sz w:val="19"/>
        </w:rPr>
        <w:tab/>
        <w:t>11</w:t>
      </w:r>
    </w:p>
    <w:p>
      <w:pPr>
        <w:tabs>
          <w:tab w:pos="8674" w:val="left"/>
        </w:tabs>
        <w:spacing w:after="30" w:line="240" w:lineRule="auto"/>
        <w:ind w:firstLine="0" w:left="369"/>
      </w:pPr>
      <w:r>
        <w:rPr>
          <w:rFonts w:ascii="Times New Roman" w:hAnsi="Times New Roman" w:eastAsia="宋体"/>
          <w:b w:val="0"/>
          <w:color w:val="1F1F1F"/>
          <w:sz w:val="19"/>
        </w:rPr>
        <w:t>3.5 模型设计</w:t>
      </w:r>
      <w:r>
        <w:rPr>
          <w:rFonts w:ascii="Times New Roman" w:hAnsi="Times New Roman" w:eastAsia="宋体"/>
          <w:b w:val="0"/>
          <w:color w:val="1F1F1F"/>
          <w:sz w:val="19"/>
        </w:rPr>
        <w:tab/>
        <w:t>12</w:t>
      </w:r>
    </w:p>
    <w:p>
      <w:pPr>
        <w:tabs>
          <w:tab w:pos="8674" w:val="left"/>
        </w:tabs>
        <w:spacing w:after="30" w:line="240" w:lineRule="auto"/>
        <w:ind w:firstLine="0" w:left="369"/>
      </w:pPr>
      <w:r>
        <w:rPr>
          <w:rFonts w:ascii="Times New Roman" w:hAnsi="Times New Roman" w:eastAsia="宋体"/>
          <w:b w:val="0"/>
          <w:color w:val="1F1F1F"/>
          <w:sz w:val="19"/>
        </w:rPr>
        <w:t>3.6 校准、阈值与评价指标</w:t>
      </w:r>
      <w:r>
        <w:rPr>
          <w:rFonts w:ascii="Times New Roman" w:hAnsi="Times New Roman" w:eastAsia="宋体"/>
          <w:b w:val="0"/>
          <w:color w:val="1F1F1F"/>
          <w:sz w:val="19"/>
        </w:rPr>
        <w:tab/>
        <w:t>13</w:t>
      </w:r>
    </w:p>
    <w:p>
      <w:pPr>
        <w:tabs>
          <w:tab w:pos="8674" w:val="left"/>
        </w:tabs>
        <w:spacing w:after="30" w:line="240" w:lineRule="auto"/>
        <w:ind w:firstLine="0" w:left="369"/>
      </w:pPr>
      <w:r>
        <w:rPr>
          <w:rFonts w:ascii="Times New Roman" w:hAnsi="Times New Roman" w:eastAsia="宋体"/>
          <w:b w:val="0"/>
          <w:color w:val="1F1F1F"/>
          <w:sz w:val="19"/>
        </w:rPr>
        <w:t>3.7 模型比较与选择</w:t>
      </w:r>
      <w:r>
        <w:rPr>
          <w:rFonts w:ascii="Times New Roman" w:hAnsi="Times New Roman" w:eastAsia="宋体"/>
          <w:b w:val="0"/>
          <w:color w:val="1F1F1F"/>
          <w:sz w:val="19"/>
        </w:rPr>
        <w:tab/>
        <w:t>13</w:t>
      </w:r>
    </w:p>
    <w:p>
      <w:pPr>
        <w:tabs>
          <w:tab w:pos="8674" w:val="left"/>
        </w:tabs>
        <w:spacing w:after="30" w:line="240" w:lineRule="auto"/>
        <w:ind w:firstLine="0" w:left="369"/>
      </w:pPr>
      <w:r>
        <w:rPr>
          <w:rFonts w:ascii="Times New Roman" w:hAnsi="Times New Roman" w:eastAsia="宋体"/>
          <w:b w:val="0"/>
          <w:color w:val="1F1F1F"/>
          <w:sz w:val="19"/>
        </w:rPr>
        <w:t>3.8 消融实验</w:t>
      </w:r>
      <w:r>
        <w:rPr>
          <w:rFonts w:ascii="Times New Roman" w:hAnsi="Times New Roman" w:eastAsia="宋体"/>
          <w:b w:val="0"/>
          <w:color w:val="1F1F1F"/>
          <w:sz w:val="19"/>
        </w:rPr>
        <w:tab/>
        <w:t>15</w:t>
      </w:r>
    </w:p>
    <w:p>
      <w:pPr>
        <w:tabs>
          <w:tab w:pos="8674" w:val="left"/>
        </w:tabs>
        <w:spacing w:after="30" w:line="240" w:lineRule="auto"/>
        <w:ind w:firstLine="0" w:left="369"/>
      </w:pPr>
      <w:r>
        <w:rPr>
          <w:rFonts w:ascii="Times New Roman" w:hAnsi="Times New Roman" w:eastAsia="宋体"/>
          <w:b w:val="0"/>
          <w:color w:val="1F1F1F"/>
          <w:sz w:val="19"/>
        </w:rPr>
        <w:t>3.9 同域测试结果</w:t>
      </w:r>
      <w:r>
        <w:rPr>
          <w:rFonts w:ascii="Times New Roman" w:hAnsi="Times New Roman" w:eastAsia="宋体"/>
          <w:b w:val="0"/>
          <w:color w:val="1F1F1F"/>
          <w:sz w:val="19"/>
        </w:rPr>
        <w:tab/>
        <w:t>15</w:t>
      </w:r>
    </w:p>
    <w:p>
      <w:pPr>
        <w:tabs>
          <w:tab w:pos="8674" w:val="left"/>
        </w:tabs>
        <w:spacing w:after="30" w:line="240" w:lineRule="auto"/>
        <w:ind w:firstLine="0" w:left="369"/>
      </w:pPr>
      <w:r>
        <w:rPr>
          <w:rFonts w:ascii="Times New Roman" w:hAnsi="Times New Roman" w:eastAsia="宋体"/>
          <w:b w:val="0"/>
          <w:color w:val="1F1F1F"/>
          <w:sz w:val="19"/>
        </w:rPr>
        <w:t>3.10 跨数据源评估</w:t>
      </w:r>
      <w:r>
        <w:rPr>
          <w:rFonts w:ascii="Times New Roman" w:hAnsi="Times New Roman" w:eastAsia="宋体"/>
          <w:b w:val="0"/>
          <w:color w:val="1F1F1F"/>
          <w:sz w:val="19"/>
        </w:rPr>
        <w:tab/>
        <w:t>19</w:t>
      </w:r>
    </w:p>
    <w:p>
      <w:pPr>
        <w:tabs>
          <w:tab w:pos="8674" w:val="left"/>
        </w:tabs>
        <w:spacing w:after="30" w:line="240" w:lineRule="auto"/>
        <w:ind w:firstLine="0" w:left="369"/>
      </w:pPr>
      <w:r>
        <w:rPr>
          <w:rFonts w:ascii="Times New Roman" w:hAnsi="Times New Roman" w:eastAsia="宋体"/>
          <w:b w:val="0"/>
          <w:color w:val="1F1F1F"/>
          <w:sz w:val="19"/>
        </w:rPr>
        <w:t>3.11 错误案例分析</w:t>
      </w:r>
      <w:r>
        <w:rPr>
          <w:rFonts w:ascii="Times New Roman" w:hAnsi="Times New Roman" w:eastAsia="宋体"/>
          <w:b w:val="0"/>
          <w:color w:val="1F1F1F"/>
          <w:sz w:val="19"/>
        </w:rPr>
        <w:tab/>
        <w:t>20</w:t>
      </w:r>
    </w:p>
    <w:p>
      <w:pPr>
        <w:tabs>
          <w:tab w:pos="8674" w:val="left"/>
        </w:tabs>
        <w:spacing w:after="30" w:line="240" w:lineRule="auto"/>
        <w:ind w:firstLine="0" w:left="0"/>
      </w:pPr>
      <w:r>
        <w:rPr>
          <w:rFonts w:ascii="Times New Roman" w:hAnsi="Times New Roman" w:eastAsia="黑体"/>
          <w:b/>
          <w:color w:val="1F1F1F"/>
          <w:sz w:val="19"/>
        </w:rPr>
        <w:t>四、项目展示</w:t>
      </w:r>
      <w:r>
        <w:rPr>
          <w:rFonts w:ascii="Times New Roman" w:hAnsi="Times New Roman" w:eastAsia="宋体"/>
          <w:b/>
          <w:color w:val="1F1F1F"/>
          <w:sz w:val="19"/>
        </w:rPr>
        <w:tab/>
        <w:t>20</w:t>
      </w:r>
    </w:p>
    <w:p>
      <w:pPr>
        <w:tabs>
          <w:tab w:pos="8674" w:val="left"/>
        </w:tabs>
        <w:spacing w:after="30" w:line="240" w:lineRule="auto"/>
        <w:ind w:firstLine="0" w:left="369"/>
      </w:pPr>
      <w:r>
        <w:rPr>
          <w:rFonts w:ascii="Times New Roman" w:hAnsi="Times New Roman" w:eastAsia="宋体"/>
          <w:b w:val="0"/>
          <w:color w:val="1F1F1F"/>
          <w:sz w:val="19"/>
        </w:rPr>
        <w:t>4.1 图形界面展示</w:t>
      </w:r>
      <w:r>
        <w:rPr>
          <w:rFonts w:ascii="Times New Roman" w:hAnsi="Times New Roman" w:eastAsia="宋体"/>
          <w:b w:val="0"/>
          <w:color w:val="1F1F1F"/>
          <w:sz w:val="19"/>
        </w:rPr>
        <w:tab/>
        <w:t>20</w:t>
      </w:r>
    </w:p>
    <w:p>
      <w:pPr>
        <w:tabs>
          <w:tab w:pos="8674" w:val="left"/>
        </w:tabs>
        <w:spacing w:after="30" w:line="240" w:lineRule="auto"/>
        <w:ind w:firstLine="0" w:left="369"/>
      </w:pPr>
      <w:r>
        <w:rPr>
          <w:rFonts w:ascii="Times New Roman" w:hAnsi="Times New Roman" w:eastAsia="宋体"/>
          <w:b w:val="0"/>
          <w:color w:val="1F1F1F"/>
          <w:sz w:val="19"/>
        </w:rPr>
        <w:t>4.2 CSV 批量推理展示</w:t>
      </w:r>
      <w:r>
        <w:rPr>
          <w:rFonts w:ascii="Times New Roman" w:hAnsi="Times New Roman" w:eastAsia="宋体"/>
          <w:b w:val="0"/>
          <w:color w:val="1F1F1F"/>
          <w:sz w:val="19"/>
        </w:rPr>
        <w:tab/>
        <w:t>22</w:t>
      </w:r>
    </w:p>
    <w:p>
      <w:pPr>
        <w:tabs>
          <w:tab w:pos="8674" w:val="left"/>
        </w:tabs>
        <w:spacing w:after="30" w:line="240" w:lineRule="auto"/>
        <w:ind w:firstLine="0" w:left="369"/>
      </w:pPr>
      <w:r>
        <w:rPr>
          <w:rFonts w:ascii="Times New Roman" w:hAnsi="Times New Roman" w:eastAsia="宋体"/>
          <w:b w:val="0"/>
          <w:color w:val="1F1F1F"/>
          <w:sz w:val="19"/>
        </w:rPr>
        <w:t>4.3 实验产物与可复现信息</w:t>
      </w:r>
      <w:r>
        <w:rPr>
          <w:rFonts w:ascii="Times New Roman" w:hAnsi="Times New Roman" w:eastAsia="宋体"/>
          <w:b w:val="0"/>
          <w:color w:val="1F1F1F"/>
          <w:sz w:val="19"/>
        </w:rPr>
        <w:tab/>
        <w:t>22</w:t>
      </w:r>
    </w:p>
    <w:p>
      <w:pPr>
        <w:tabs>
          <w:tab w:pos="8674" w:val="left"/>
        </w:tabs>
        <w:spacing w:after="30" w:line="240" w:lineRule="auto"/>
        <w:ind w:firstLine="0" w:left="369"/>
      </w:pPr>
      <w:r>
        <w:rPr>
          <w:rFonts w:ascii="Times New Roman" w:hAnsi="Times New Roman" w:eastAsia="宋体"/>
          <w:b w:val="0"/>
          <w:color w:val="1F1F1F"/>
          <w:sz w:val="19"/>
        </w:rPr>
        <w:t>4.4 测试与验收</w:t>
      </w:r>
      <w:r>
        <w:rPr>
          <w:rFonts w:ascii="Times New Roman" w:hAnsi="Times New Roman" w:eastAsia="宋体"/>
          <w:b w:val="0"/>
          <w:color w:val="1F1F1F"/>
          <w:sz w:val="19"/>
        </w:rPr>
        <w:tab/>
        <w:t>23</w:t>
      </w:r>
    </w:p>
    <w:p>
      <w:pPr>
        <w:tabs>
          <w:tab w:pos="8674" w:val="left"/>
        </w:tabs>
        <w:spacing w:after="30" w:line="240" w:lineRule="auto"/>
        <w:ind w:firstLine="0" w:left="369"/>
      </w:pPr>
      <w:r>
        <w:rPr>
          <w:rFonts w:ascii="Times New Roman" w:hAnsi="Times New Roman" w:eastAsia="宋体"/>
          <w:b w:val="0"/>
          <w:color w:val="1F1F1F"/>
          <w:sz w:val="19"/>
        </w:rPr>
        <w:t>4.5 项目局限与后续改进</w:t>
      </w:r>
      <w:r>
        <w:rPr>
          <w:rFonts w:ascii="Times New Roman" w:hAnsi="Times New Roman" w:eastAsia="宋体"/>
          <w:b w:val="0"/>
          <w:color w:val="1F1F1F"/>
          <w:sz w:val="19"/>
        </w:rPr>
        <w:tab/>
        <w:t>24</w:t>
      </w:r>
    </w:p>
    <w:p>
      <w:pPr>
        <w:tabs>
          <w:tab w:pos="8674" w:val="left"/>
        </w:tabs>
        <w:spacing w:after="30" w:line="240" w:lineRule="auto"/>
        <w:ind w:firstLine="0" w:left="369"/>
      </w:pPr>
      <w:r>
        <w:rPr>
          <w:rFonts w:ascii="Times New Roman" w:hAnsi="Times New Roman" w:eastAsia="宋体"/>
          <w:b w:val="0"/>
          <w:color w:val="1F1F1F"/>
          <w:sz w:val="19"/>
        </w:rPr>
        <w:t>4.6 项目总结</w:t>
      </w:r>
      <w:r>
        <w:rPr>
          <w:rFonts w:ascii="Times New Roman" w:hAnsi="Times New Roman" w:eastAsia="宋体"/>
          <w:b w:val="0"/>
          <w:color w:val="1F1F1F"/>
          <w:sz w:val="19"/>
        </w:rPr>
        <w:tab/>
        <w:t>24</w:t>
      </w:r>
    </w:p>
    <w:p>
      <w:pPr>
        <w:tabs>
          <w:tab w:pos="8674" w:val="left"/>
        </w:tabs>
        <w:spacing w:after="30" w:line="240" w:lineRule="auto"/>
        <w:ind w:firstLine="0" w:left="0"/>
      </w:pPr>
      <w:r>
        <w:rPr>
          <w:rFonts w:ascii="Times New Roman" w:hAnsi="Times New Roman" w:eastAsia="黑体"/>
          <w:b/>
          <w:color w:val="1F1F1F"/>
          <w:sz w:val="19"/>
        </w:rPr>
        <w:t>参考文献</w:t>
      </w:r>
      <w:r>
        <w:rPr>
          <w:rFonts w:ascii="Times New Roman" w:hAnsi="Times New Roman" w:eastAsia="宋体"/>
          <w:b/>
          <w:color w:val="1F1F1F"/>
          <w:sz w:val="19"/>
        </w:rPr>
        <w:tab/>
        <w:t>24</w:t>
      </w:r>
    </w:p>
    <w:p>
      <w:pPr>
        <w:ind w:firstLine="0"/>
      </w:pPr>
      <w:r>
        <w:fldChar w:fldCharType="end"/>
      </w:r>
    </w:p>
    <w:p>
      <w:pPr>
        <w:sectPr>
          <w:headerReference w:type="default" r:id="rId12"/>
          <w:footerReference w:type="default" r:id="rId13"/>
          <w:pgSz w:w="11906" w:h="16838"/>
          <w:pgMar w:top="1361" w:right="1304" w:bottom="1247" w:left="1417" w:header="680" w:footer="680" w:gutter="0"/>
          <w:cols w:space="720"/>
          <w:docGrid w:linePitch="360"/>
          <w:pgNumType w:start="1" w:fmt="upperRoman"/>
        </w:sectPr>
      </w:pPr>
    </w:p>
    <w:p>
      <w:pPr>
        <w:pStyle w:val="Heading1"/>
      </w:pPr>
      <w:r>
        <w:t>一、项目介绍</w:t>
      </w:r>
    </w:p>
    <w:p>
      <w:pPr>
        <w:pStyle w:val="Heading2"/>
      </w:pPr>
      <w:r>
        <w:t>1.1 项目摘要</w:t>
      </w:r>
    </w:p>
    <w:p>
      <w:r>
        <w:rPr>
          <w:rFonts w:ascii="Times New Roman" w:hAnsi="Times New Roman" w:eastAsia="宋体"/>
          <w:b w:val="0"/>
          <w:color w:val="1F1F1F"/>
          <w:sz w:val="21"/>
        </w:rPr>
        <w:t>随着社交媒体和在线社区成为人们表达情绪、记录生活与寻求支持的重要渠道，利用自然语言处理技术对公开文本中的心理健康相关语言进行教学研究，已成为机器学习课程中具有代表性的应用方向。本项目以英文社交媒体风格文本为对象，设计并实现“抑郁倾向识别平台”，完成从多源数据整理、文本清洗、特征工程、模型训练、概率校准、跨数据源测试到图形界面展示的完整流程。</w:t>
      </w:r>
    </w:p>
    <w:p>
      <w:r>
        <w:rPr>
          <w:rFonts w:ascii="Times New Roman" w:hAnsi="Times New Roman" w:eastAsia="宋体"/>
          <w:b w:val="0"/>
          <w:color w:val="1F1F1F"/>
          <w:sz w:val="21"/>
        </w:rPr>
        <w:t>系统将任务定义为 Depression 与其他类别之间的二分类。数据层使用 SQLite 保存清洗后的文本、标签、来源、划分信息和 SHA-256 稳定指纹；特征层组合 TF-IDF、文本长度统计、VADER 情感分数以及 Georgetown EMNLP'17 项目中的词典侧弱特征；模型层比较逻辑回归、线性支持向量机、随机森林和 XGBoost；应用层提供 Tkinter 单条文本检测和 CSV 批量推理。</w:t>
      </w:r>
    </w:p>
    <w:p>
      <w:pPr>
        <w:spacing w:before="80" w:after="120"/>
        <w:ind w:firstLine="0" w:left="227" w:right="227"/>
        <w:shd w:fill="EAF2F7"/>
      </w:pPr>
      <w:r>
        <w:rPr>
          <w:rFonts w:ascii="Times New Roman" w:hAnsi="Times New Roman" w:eastAsia="宋体"/>
          <w:b/>
          <w:color w:val="244A64"/>
          <w:sz w:val="20"/>
        </w:rPr>
        <w:t>重要边界：平台输出的是“模型阳性分数”，不是患病概率，也不能替代医生诊断、心理咨询或危机干预。</w:t>
      </w:r>
    </w:p>
    <w:p>
      <w:r>
        <w:rPr>
          <w:rFonts w:ascii="Times New Roman" w:hAnsi="Times New Roman" w:eastAsia="宋体"/>
          <w:b w:val="0"/>
          <w:color w:val="1F1F1F"/>
          <w:sz w:val="21"/>
        </w:rPr>
        <w:t>完整实验共使用 7647 条去重样本，训练集、验证集和测试集分别为 4893、1224 和 1530 条。最终模型选择同时考虑同域验证 F2 与跨数据源 F2，逻辑回归以综合评分 0.873 被选为正式模型。同域测试 F2 为 0.945，跨域测试 F2 为 0.717，结果说明系统在原始数据分布上具有较高召回能力，但面对不同数据来源时仍存在明显性能下降。</w:t>
      </w:r>
    </w:p>
    <w:p>
      <w:pPr>
        <w:pStyle w:val="Heading2"/>
      </w:pPr>
      <w:r>
        <w:t>1.2 项目背景</w:t>
      </w:r>
    </w:p>
    <w:p>
      <w:r>
        <w:rPr>
          <w:rFonts w:ascii="Times New Roman" w:hAnsi="Times New Roman" w:eastAsia="宋体"/>
          <w:b w:val="0"/>
          <w:color w:val="1F1F1F"/>
          <w:sz w:val="21"/>
        </w:rPr>
        <w:t>心理健康问题具有较强的个体差异和语境依赖性，单段文本往往只能反映某一时刻的表达方式。传统人工阅读方式耗时较长，且难以对大规模文本进行统一统计；机器学习能够从词频、词组、情感倾向和特定语言线索中学习判别边界，因此适合作为自然语言处理课程中的实验对象。</w:t>
      </w:r>
    </w:p>
    <w:p>
      <w:r>
        <w:rPr>
          <w:rFonts w:ascii="Times New Roman" w:hAnsi="Times New Roman" w:eastAsia="宋体"/>
          <w:b w:val="0"/>
          <w:color w:val="1F1F1F"/>
          <w:sz w:val="21"/>
        </w:rPr>
        <w:t>早期文本分类通常依赖词袋模型、TF-IDF 与逻辑回归、朴素贝叶斯或支持向量机等分类器。此类方法结构清晰、训练速度快、便于解释和复现，适合在普通学生电脑上完成。近年来预训练语言模型能够学习更丰富的语义表示，但模型下载、计算资源和复现成本较高。本项目因此将经典机器学习作为主线，并保留 MiniLM 句向量基线作为可选扩展。</w:t>
      </w:r>
    </w:p>
    <w:p>
      <w:r>
        <w:rPr>
          <w:rFonts w:ascii="Times New Roman" w:hAnsi="Times New Roman" w:eastAsia="宋体"/>
          <w:b w:val="0"/>
          <w:color w:val="1F1F1F"/>
          <w:sz w:val="21"/>
        </w:rPr>
        <w:t>社交媒体文本还具有口语化、拼写不规范、缩写、URL、引用、反讽和语境缺失等特点。不同数据集的采集规则与标签定义并不一致，容易形成来源偏差。为避免只报告同域高分，本项目专门增加跨数据源评估，并把泛化结果纳入正式模型选择。</w:t>
      </w:r>
    </w:p>
    <w:p>
      <w:r>
        <w:br w:type="page"/>
      </w:r>
    </w:p>
    <w:p>
      <w:pPr>
        <w:pStyle w:val="Heading2"/>
      </w:pPr>
      <w:r>
        <w:t>1.3 项目难点</w:t>
      </w:r>
    </w:p>
    <w:p>
      <w:pPr>
        <w:numPr>
          <w:ilvl w:val="0"/>
          <w:numId w:val="10"/>
        </w:numPr>
        <w:spacing w:after="60" w:line="324" w:lineRule="auto"/>
      </w:pPr>
      <w:r>
        <w:rPr>
          <w:rFonts w:ascii="Times New Roman" w:hAnsi="Times New Roman" w:eastAsia="宋体"/>
          <w:b w:val="0"/>
          <w:color w:val="1F1F1F"/>
          <w:sz w:val="21"/>
        </w:rPr>
        <w:t>标签并非临床诊断。数据集标签可能来自自述、关键词规则或数据集作者的标注，不能直接等同于医学结论。</w:t>
      </w:r>
    </w:p>
    <w:p>
      <w:pPr>
        <w:numPr>
          <w:ilvl w:val="0"/>
          <w:numId w:val="10"/>
        </w:numPr>
        <w:spacing w:after="60" w:line="324" w:lineRule="auto"/>
      </w:pPr>
      <w:r>
        <w:rPr>
          <w:rFonts w:ascii="Times New Roman" w:hAnsi="Times New Roman" w:eastAsia="宋体"/>
          <w:b w:val="0"/>
          <w:color w:val="1F1F1F"/>
          <w:sz w:val="21"/>
        </w:rPr>
        <w:t>数据来源差异明显。Reddit 长文本与短句数据在平均长度、词汇分布和表达方式上差异较大，模型容易学习来源特征。</w:t>
      </w:r>
    </w:p>
    <w:p>
      <w:pPr>
        <w:numPr>
          <w:ilvl w:val="0"/>
          <w:numId w:val="10"/>
        </w:numPr>
        <w:spacing w:after="60" w:line="324" w:lineRule="auto"/>
      </w:pPr>
      <w:r>
        <w:rPr>
          <w:rFonts w:ascii="Times New Roman" w:hAnsi="Times New Roman" w:eastAsia="宋体"/>
          <w:b w:val="0"/>
          <w:color w:val="1F1F1F"/>
          <w:sz w:val="21"/>
        </w:rPr>
        <w:t>类别决策目标不同。课程系统希望减少漏检，因此采用偏重召回率的 F2 指标，但过低阈值会增加假阳性。</w:t>
      </w:r>
    </w:p>
    <w:p>
      <w:pPr>
        <w:numPr>
          <w:ilvl w:val="0"/>
          <w:numId w:val="10"/>
        </w:numPr>
        <w:spacing w:after="60" w:line="324" w:lineRule="auto"/>
      </w:pPr>
      <w:r>
        <w:rPr>
          <w:rFonts w:ascii="Times New Roman" w:hAnsi="Times New Roman" w:eastAsia="宋体"/>
          <w:b w:val="0"/>
          <w:color w:val="1F1F1F"/>
          <w:sz w:val="21"/>
        </w:rPr>
        <w:t>概率与分档需要谨慎。分类器输出经校准后仍只是模型分数，低、中、高三档只能用于教学展示。</w:t>
      </w:r>
    </w:p>
    <w:p>
      <w:pPr>
        <w:numPr>
          <w:ilvl w:val="0"/>
          <w:numId w:val="10"/>
        </w:numPr>
        <w:spacing w:after="60" w:line="324" w:lineRule="auto"/>
      </w:pPr>
      <w:r>
        <w:rPr>
          <w:rFonts w:ascii="Times New Roman" w:hAnsi="Times New Roman" w:eastAsia="宋体"/>
          <w:b w:val="0"/>
          <w:color w:val="1F1F1F"/>
          <w:sz w:val="21"/>
        </w:rPr>
        <w:t>工程复现要求较高。数据切分、随机种子、模型版本、依赖版本和训练产物必须被记录，才能支持答辩验收。</w:t>
      </w:r>
    </w:p>
    <w:p>
      <w:pPr>
        <w:pStyle w:val="Heading2"/>
      </w:pPr>
      <w:r>
        <w:t>1.4 项目特色分析</w:t>
      </w:r>
    </w:p>
    <w:p>
      <w:pPr>
        <w:numPr>
          <w:ilvl w:val="0"/>
          <w:numId w:val="11"/>
        </w:numPr>
        <w:spacing w:after="60" w:line="324" w:lineRule="auto"/>
      </w:pPr>
      <w:r>
        <w:rPr>
          <w:rFonts w:ascii="Times New Roman" w:hAnsi="Times New Roman" w:eastAsia="宋体"/>
          <w:b w:val="0"/>
          <w:color w:val="1F1F1F"/>
          <w:sz w:val="21"/>
        </w:rPr>
        <w:t>完整的数据质量控制：使用规范化文本指纹进行精确去重，统计近重复样本，并验证训练、验证、测试之间不存在指纹重叠。</w:t>
      </w:r>
    </w:p>
    <w:p>
      <w:pPr>
        <w:numPr>
          <w:ilvl w:val="0"/>
          <w:numId w:val="11"/>
        </w:numPr>
        <w:spacing w:after="60" w:line="324" w:lineRule="auto"/>
      </w:pPr>
      <w:r>
        <w:rPr>
          <w:rFonts w:ascii="Times New Roman" w:hAnsi="Times New Roman" w:eastAsia="宋体"/>
          <w:b w:val="0"/>
          <w:color w:val="1F1F1F"/>
          <w:sz w:val="21"/>
        </w:rPr>
        <w:t>来源与标签联合分层：在样本量允许时按 source_id 与 label 共同分层，保持不同来源在各切分中的比例。</w:t>
      </w:r>
    </w:p>
    <w:p>
      <w:pPr>
        <w:numPr>
          <w:ilvl w:val="0"/>
          <w:numId w:val="11"/>
        </w:numPr>
        <w:spacing w:after="60" w:line="324" w:lineRule="auto"/>
      </w:pPr>
      <w:r>
        <w:rPr>
          <w:rFonts w:ascii="Times New Roman" w:hAnsi="Times New Roman" w:eastAsia="宋体"/>
          <w:b w:val="0"/>
          <w:color w:val="1F1F1F"/>
          <w:sz w:val="21"/>
        </w:rPr>
        <w:t>多层次特征消融：依次比较仅 TF-IDF、加入统计特征、加入 VADER、加入 EMNLP'17 词典特征后的变化。</w:t>
      </w:r>
    </w:p>
    <w:p>
      <w:pPr>
        <w:numPr>
          <w:ilvl w:val="0"/>
          <w:numId w:val="11"/>
        </w:numPr>
        <w:spacing w:after="60" w:line="324" w:lineRule="auto"/>
      </w:pPr>
      <w:r>
        <w:rPr>
          <w:rFonts w:ascii="Times New Roman" w:hAnsi="Times New Roman" w:eastAsia="宋体"/>
          <w:b w:val="0"/>
          <w:color w:val="1F1F1F"/>
          <w:sz w:val="21"/>
        </w:rPr>
        <w:t>无泄漏的校准和阈值选择：将验证集拆为互不重叠的校准子集与模型选择子集，避免同一批样本重复参与拟合。</w:t>
      </w:r>
    </w:p>
    <w:p>
      <w:pPr>
        <w:numPr>
          <w:ilvl w:val="0"/>
          <w:numId w:val="11"/>
        </w:numPr>
        <w:spacing w:after="60" w:line="324" w:lineRule="auto"/>
      </w:pPr>
      <w:r>
        <w:rPr>
          <w:rFonts w:ascii="Times New Roman" w:hAnsi="Times New Roman" w:eastAsia="宋体"/>
          <w:b w:val="0"/>
          <w:color w:val="1F1F1F"/>
          <w:sz w:val="21"/>
        </w:rPr>
        <w:t>跨域结果参与模型选择：使用 0.7×同域 F2 + 0.3×跨域 F2 的综合评分，避免仅追求单一数据集上的高分。</w:t>
      </w:r>
    </w:p>
    <w:p>
      <w:pPr>
        <w:numPr>
          <w:ilvl w:val="0"/>
          <w:numId w:val="11"/>
        </w:numPr>
        <w:spacing w:after="60" w:line="324" w:lineRule="auto"/>
      </w:pPr>
      <w:r>
        <w:rPr>
          <w:rFonts w:ascii="Times New Roman" w:hAnsi="Times New Roman" w:eastAsia="宋体"/>
          <w:b w:val="0"/>
          <w:color w:val="1F1F1F"/>
          <w:sz w:val="21"/>
        </w:rPr>
        <w:t>可交付的平台形式：支持 GUI、批量推理、模型元数据、实验表格、错误案例和固定伦理提示。</w:t>
      </w:r>
    </w:p>
    <w:p>
      <w:pPr>
        <w:pStyle w:val="Heading2"/>
      </w:pPr>
      <w:r>
        <w:t>1.5 团队组织与分工</w:t>
      </w:r>
    </w:p>
    <w:p>
      <w:r>
        <w:rPr>
          <w:rFonts w:ascii="Times New Roman" w:hAnsi="Times New Roman" w:eastAsia="宋体"/>
          <w:b w:val="0"/>
          <w:color w:val="1F1F1F"/>
          <w:sz w:val="21"/>
        </w:rPr>
        <w:t>本组由任冉和萧准两名成员组成。项目初期由萧准确立“英文社交媒体文本抑郁倾向识别”的主题并参与前期调研；任冉负责收集和整理大部分相关数据集、核对字段并建立数据清单。主题确定后，两人共同推进环境搭建、代码实现、模型实验、结果讨论、系统测试和课程报告撰写。</w:t>
      </w:r>
    </w:p>
    <w:p>
      <w:pPr>
        <w:pStyle w:val="Caption"/>
      </w:pPr>
      <w:r>
        <w:rPr>
          <w:rFonts w:ascii="Times New Roman" w:hAnsi="Times New Roman" w:eastAsia="宋体"/>
          <w:b w:val="0"/>
          <w:color w:val="1F1F1F"/>
          <w:sz w:val="19"/>
        </w:rPr>
        <w:t>表 1-1 团队成员分工</w:t>
      </w:r>
    </w:p>
    <w:tbl>
      <w:tblPr>
        <w:tblW w:type="auto" w:w="0"/>
        <w:jc w:val="center"/>
        <w:tblLayout w:type="fixed"/>
        <w:tblLook w:firstColumn="1" w:firstRow="1" w:lastColumn="0" w:lastRow="0" w:noHBand="0" w:noVBand="1" w:val="04A0"/>
        <w:tblBorders>
          <w:top w:val="single" w:sz="6" w:color="7F8C95"/>
          <w:left w:val="single" w:sz="6" w:color="7F8C95"/>
          <w:bottom w:val="single" w:sz="6" w:color="7F8C95"/>
          <w:right w:val="single" w:sz="6" w:color="7F8C95"/>
          <w:insideH w:val="single" w:sz="6" w:color="7F8C95"/>
          <w:insideV w:val="single" w:sz="6" w:color="7F8C95"/>
        </w:tblBorders>
      </w:tblPr>
      <w:tblGrid>
        <w:gridCol w:w="3062"/>
        <w:gridCol w:w="3062"/>
        <w:gridCol w:w="3062"/>
      </w:tblGrid>
      <w:tr>
        <w:trPr>
          <w:tblHeader w:val="true"/>
        </w:trPr>
        <w:tc>
          <w:tcPr>
            <w:tcW w:type="dxa" w:w="1440"/>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8"/>
              </w:rPr>
              <w:t>成员</w:t>
            </w:r>
          </w:p>
        </w:tc>
        <w:tc>
          <w:tcPr>
            <w:tcW w:type="dxa" w:w="3744"/>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8"/>
              </w:rPr>
              <w:t>主要工作</w:t>
            </w:r>
          </w:p>
        </w:tc>
        <w:tc>
          <w:tcPr>
            <w:tcW w:type="dxa" w:w="3888"/>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8"/>
              </w:rPr>
              <w:t>协作内容</w:t>
            </w:r>
          </w:p>
        </w:tc>
      </w:tr>
      <w:tr>
        <w:trPr>
          <w:cantSplit/>
        </w:trPr>
        <w:tc>
          <w:tcPr>
            <w:tcW w:type="dxa" w:w="144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萧准</w:t>
            </w:r>
          </w:p>
        </w:tc>
        <w:tc>
          <w:tcPr>
            <w:tcW w:type="dxa" w:w="3744"/>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8"/>
              </w:rPr>
              <w:t>确定选题；开展前期需求与技术调研；参与模型方案讨论</w:t>
            </w:r>
          </w:p>
        </w:tc>
        <w:tc>
          <w:tcPr>
            <w:tcW w:type="dxa" w:w="3888"/>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8"/>
              </w:rPr>
              <w:t>共同完成实验设计、系统测试、结果分析和报告</w:t>
            </w:r>
          </w:p>
        </w:tc>
      </w:tr>
      <w:tr>
        <w:trPr>
          <w:cantSplit/>
        </w:trPr>
        <w:tc>
          <w:tcPr>
            <w:tcW w:type="dxa" w:w="144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任冉</w:t>
            </w:r>
          </w:p>
        </w:tc>
        <w:tc>
          <w:tcPr>
            <w:tcW w:type="dxa" w:w="3744"/>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8"/>
              </w:rPr>
              <w:t>收集大部分数据集；整理数据来源与字段；推进工程实现和实验复现</w:t>
            </w:r>
          </w:p>
        </w:tc>
        <w:tc>
          <w:tcPr>
            <w:tcW w:type="dxa" w:w="3888"/>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8"/>
              </w:rPr>
              <w:t>共同完成算法实现、界面展示、测试与文档</w:t>
            </w:r>
          </w:p>
        </w:tc>
      </w:tr>
    </w:tbl>
    <w:p>
      <w:pPr>
        <w:spacing w:after="0"/>
      </w:pPr>
    </w:p>
    <w:p>
      <w:pPr>
        <w:pStyle w:val="Heading1"/>
      </w:pPr>
      <w:r>
        <w:t>二、需求分析</w:t>
      </w:r>
    </w:p>
    <w:p>
      <w:pPr>
        <w:pStyle w:val="Heading2"/>
      </w:pPr>
      <w:r>
        <w:t>2.1 需求调研</w:t>
      </w:r>
    </w:p>
    <w:p>
      <w:r>
        <w:rPr>
          <w:rFonts w:ascii="Times New Roman" w:hAnsi="Times New Roman" w:eastAsia="宋体"/>
          <w:b w:val="0"/>
          <w:color w:val="1F1F1F"/>
          <w:sz w:val="21"/>
        </w:rPr>
        <w:t>课程项目需要同时满足算法实验和现场展示两类需求。算法层面应能够完成数据导入、特征构建、模型训练、阈值选择和多指标评估；展示层面应让非专业用户能够输入一段英文文本并看到清晰的模型分数、风险档位和使用限制。由于任务涉及心理健康，系统还必须把误判风险、隐私和非诊断属性作为基本约束。</w:t>
      </w:r>
    </w:p>
    <w:p>
      <w:pPr>
        <w:ind w:firstLine="0"/>
        <w:jc w:val="center"/>
      </w:pPr>
      <w:r>
        <w:drawing>
          <wp:inline xmlns:a="http://schemas.openxmlformats.org/drawingml/2006/main" xmlns:pic="http://schemas.openxmlformats.org/drawingml/2006/picture">
            <wp:extent cx="5715000" cy="3673929"/>
            <wp:docPr id="2" name="Picture 2"/>
            <wp:cNvGraphicFramePr>
              <a:graphicFrameLocks noChangeAspect="1"/>
            </wp:cNvGraphicFramePr>
            <a:graphic>
              <a:graphicData uri="http://schemas.openxmlformats.org/drawingml/2006/picture">
                <pic:pic>
                  <pic:nvPicPr>
                    <pic:cNvPr id="0" name="use_case.png"/>
                    <pic:cNvPicPr/>
                  </pic:nvPicPr>
                  <pic:blipFill>
                    <a:blip r:embed="rId16"/>
                    <a:stretch>
                      <a:fillRect/>
                    </a:stretch>
                  </pic:blipFill>
                  <pic:spPr>
                    <a:xfrm>
                      <a:off x="0" y="0"/>
                      <a:ext cx="5715000" cy="3673929"/>
                    </a:xfrm>
                    <a:prstGeom prst="rect"/>
                  </pic:spPr>
                </pic:pic>
              </a:graphicData>
            </a:graphic>
          </wp:inline>
        </w:drawing>
      </w:r>
    </w:p>
    <w:p>
      <w:pPr>
        <w:pStyle w:val="Caption"/>
      </w:pPr>
      <w:r>
        <w:rPr>
          <w:rFonts w:ascii="Times New Roman" w:hAnsi="Times New Roman" w:eastAsia="宋体"/>
          <w:b w:val="0"/>
          <w:color w:val="1F1F1F"/>
          <w:sz w:val="19"/>
        </w:rPr>
        <w:t>图 2-1 抑郁倾向识别平台功能用例图</w:t>
      </w:r>
    </w:p>
    <w:p>
      <w:pPr>
        <w:pStyle w:val="Caption"/>
      </w:pPr>
      <w:r>
        <w:rPr>
          <w:rFonts w:ascii="Times New Roman" w:hAnsi="Times New Roman" w:eastAsia="宋体"/>
          <w:b w:val="0"/>
          <w:color w:val="1F1F1F"/>
          <w:sz w:val="19"/>
        </w:rPr>
        <w:t>表 2-1 主要功能需求</w:t>
      </w:r>
    </w:p>
    <w:tbl>
      <w:tblPr>
        <w:tblW w:type="auto" w:w="0"/>
        <w:jc w:val="center"/>
        <w:tblLayout w:type="fixed"/>
        <w:tblLook w:firstColumn="1" w:firstRow="1" w:lastColumn="0" w:lastRow="0" w:noHBand="0" w:noVBand="1" w:val="04A0"/>
        <w:tblBorders>
          <w:top w:val="single" w:sz="6" w:color="7F8C95"/>
          <w:left w:val="single" w:sz="6" w:color="7F8C95"/>
          <w:bottom w:val="single" w:sz="6" w:color="7F8C95"/>
          <w:right w:val="single" w:sz="6" w:color="7F8C95"/>
          <w:insideH w:val="single" w:sz="6" w:color="7F8C95"/>
          <w:insideV w:val="single" w:sz="6" w:color="7F8C95"/>
        </w:tblBorders>
      </w:tblPr>
      <w:tblGrid>
        <w:gridCol w:w="3062"/>
        <w:gridCol w:w="3062"/>
        <w:gridCol w:w="3062"/>
      </w:tblGrid>
      <w:tr>
        <w:trPr>
          <w:tblHeader w:val="true"/>
        </w:trPr>
        <w:tc>
          <w:tcPr>
            <w:tcW w:type="dxa" w:w="864"/>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7"/>
              </w:rPr>
              <w:t>编号</w:t>
            </w:r>
          </w:p>
        </w:tc>
        <w:tc>
          <w:tcPr>
            <w:tcW w:type="dxa" w:w="2160"/>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7"/>
              </w:rPr>
              <w:t>功能</w:t>
            </w:r>
          </w:p>
        </w:tc>
        <w:tc>
          <w:tcPr>
            <w:tcW w:type="dxa" w:w="6048"/>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7"/>
              </w:rPr>
              <w:t>说明</w:t>
            </w:r>
          </w:p>
        </w:tc>
      </w:tr>
      <w:tr>
        <w:trPr>
          <w:cantSplit/>
        </w:trPr>
        <w:tc>
          <w:tcPr>
            <w:tcW w:type="dxa" w:w="864"/>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F1</w:t>
            </w:r>
          </w:p>
        </w:tc>
        <w:tc>
          <w:tcPr>
            <w:tcW w:type="dxa" w:w="216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数据集构建</w:t>
            </w:r>
          </w:p>
        </w:tc>
        <w:tc>
          <w:tcPr>
            <w:tcW w:type="dxa" w:w="6048"/>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7"/>
              </w:rPr>
              <w:t>从清单发现可用 CSV，完成字段统一、清洗、去重、分层切分并写入 SQLite。</w:t>
            </w:r>
          </w:p>
        </w:tc>
      </w:tr>
      <w:tr>
        <w:trPr>
          <w:cantSplit/>
        </w:trPr>
        <w:tc>
          <w:tcPr>
            <w:tcW w:type="dxa" w:w="864"/>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F2</w:t>
            </w:r>
          </w:p>
        </w:tc>
        <w:tc>
          <w:tcPr>
            <w:tcW w:type="dxa" w:w="216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模型训练</w:t>
            </w:r>
          </w:p>
        </w:tc>
        <w:tc>
          <w:tcPr>
            <w:tcW w:type="dxa" w:w="6048"/>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7"/>
              </w:rPr>
              <w:t>支持 quick 与 full 两种实验模式，输出模型、指标、阈值、图表和元数据。</w:t>
            </w:r>
          </w:p>
        </w:tc>
      </w:tr>
      <w:tr>
        <w:trPr>
          <w:cantSplit/>
        </w:trPr>
        <w:tc>
          <w:tcPr>
            <w:tcW w:type="dxa" w:w="864"/>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F3</w:t>
            </w:r>
          </w:p>
        </w:tc>
        <w:tc>
          <w:tcPr>
            <w:tcW w:type="dxa" w:w="216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单条文本检测</w:t>
            </w:r>
          </w:p>
        </w:tc>
        <w:tc>
          <w:tcPr>
            <w:tcW w:type="dxa" w:w="6048"/>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7"/>
              </w:rPr>
              <w:t>检查文本长度与英文比例，输出模型阳性分数、风险档位和词典文本证据。</w:t>
            </w:r>
          </w:p>
        </w:tc>
      </w:tr>
      <w:tr>
        <w:trPr>
          <w:cantSplit/>
        </w:trPr>
        <w:tc>
          <w:tcPr>
            <w:tcW w:type="dxa" w:w="864"/>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F4</w:t>
            </w:r>
          </w:p>
        </w:tc>
        <w:tc>
          <w:tcPr>
            <w:tcW w:type="dxa" w:w="216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CSV 批量推理</w:t>
            </w:r>
          </w:p>
        </w:tc>
        <w:tc>
          <w:tcPr>
            <w:tcW w:type="dxa" w:w="6048"/>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7"/>
              </w:rPr>
              <w:t>自动识别文本列，为每行生成 model_score、risk_tier 和 model_version。</w:t>
            </w:r>
          </w:p>
        </w:tc>
      </w:tr>
      <w:tr>
        <w:trPr>
          <w:cantSplit/>
        </w:trPr>
        <w:tc>
          <w:tcPr>
            <w:tcW w:type="dxa" w:w="864"/>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F5</w:t>
            </w:r>
          </w:p>
        </w:tc>
        <w:tc>
          <w:tcPr>
            <w:tcW w:type="dxa" w:w="216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实验结果查看</w:t>
            </w:r>
          </w:p>
        </w:tc>
        <w:tc>
          <w:tcPr>
            <w:tcW w:type="dxa" w:w="6048"/>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7"/>
              </w:rPr>
              <w:t>通过 JSON、CSV、PNG 和 Notebook 查看同域、跨域、消融与错误案例。</w:t>
            </w:r>
          </w:p>
        </w:tc>
      </w:tr>
    </w:tbl>
    <w:p>
      <w:pPr>
        <w:spacing w:after="0"/>
      </w:pPr>
    </w:p>
    <w:p>
      <w:pPr>
        <w:pStyle w:val="Heading2"/>
      </w:pPr>
      <w:r>
        <w:t>2.2 功能性需求</w:t>
      </w:r>
    </w:p>
    <w:p>
      <w:pPr>
        <w:pStyle w:val="Heading3"/>
      </w:pPr>
      <w:r>
        <w:t>2.2.1 构建数据集</w:t>
      </w:r>
    </w:p>
    <w:p>
      <w:pPr>
        <w:pStyle w:val="Caption"/>
      </w:pPr>
      <w:r>
        <w:rPr>
          <w:rFonts w:ascii="Times New Roman" w:hAnsi="Times New Roman" w:eastAsia="宋体"/>
          <w:b w:val="0"/>
          <w:color w:val="1F1F1F"/>
          <w:sz w:val="19"/>
        </w:rPr>
        <w:t>表 2-2 构建数据集用例描述</w:t>
      </w:r>
    </w:p>
    <w:tbl>
      <w:tblPr>
        <w:tblW w:type="auto" w:w="0"/>
        <w:jc w:val="center"/>
        <w:tblLayout w:type="fixed"/>
        <w:tblLook w:firstColumn="1" w:firstRow="1" w:lastColumn="0" w:lastRow="0" w:noHBand="0" w:noVBand="1" w:val="04A0"/>
        <w:tblBorders>
          <w:top w:val="single" w:sz="6" w:color="7F8C95"/>
          <w:left w:val="single" w:sz="6" w:color="7F8C95"/>
          <w:bottom w:val="single" w:sz="6" w:color="7F8C95"/>
          <w:right w:val="single" w:sz="6" w:color="7F8C95"/>
          <w:insideH w:val="single" w:sz="6" w:color="7F8C95"/>
          <w:insideV w:val="single" w:sz="6" w:color="7F8C95"/>
        </w:tblBorders>
      </w:tblPr>
      <w:tblGrid>
        <w:gridCol w:w="4592"/>
        <w:gridCol w:w="4592"/>
      </w:tblGrid>
      <w:tr>
        <w:trPr>
          <w:tblHeader w:val="true"/>
        </w:trPr>
        <w:tc>
          <w:tcPr>
            <w:tcW w:type="dxa" w:w="1800"/>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8"/>
              </w:rPr>
              <w:t>项目</w:t>
            </w:r>
          </w:p>
        </w:tc>
        <w:tc>
          <w:tcPr>
            <w:tcW w:type="dxa" w:w="7272"/>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8"/>
              </w:rPr>
              <w:t>内容</w:t>
            </w:r>
          </w:p>
        </w:tc>
      </w:tr>
      <w:tr>
        <w:trPr>
          <w:cantSplit/>
        </w:trPr>
        <w:tc>
          <w:tcPr>
            <w:tcW w:type="dxa" w:w="180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用例名称</w:t>
            </w:r>
          </w:p>
        </w:tc>
        <w:tc>
          <w:tcPr>
            <w:tcW w:type="dxa" w:w="7272"/>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构建与检查文本数据集</w:t>
            </w:r>
          </w:p>
        </w:tc>
      </w:tr>
      <w:tr>
        <w:trPr>
          <w:cantSplit/>
        </w:trPr>
        <w:tc>
          <w:tcPr>
            <w:tcW w:type="dxa" w:w="180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参与者</w:t>
            </w:r>
          </w:p>
        </w:tc>
        <w:tc>
          <w:tcPr>
            <w:tcW w:type="dxa" w:w="7272"/>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项目成员</w:t>
            </w:r>
          </w:p>
        </w:tc>
      </w:tr>
      <w:tr>
        <w:trPr>
          <w:cantSplit/>
        </w:trPr>
        <w:tc>
          <w:tcPr>
            <w:tcW w:type="dxa" w:w="180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前置条件</w:t>
            </w:r>
          </w:p>
        </w:tc>
        <w:tc>
          <w:tcPr>
            <w:tcW w:type="dxa" w:w="7272"/>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8"/>
              </w:rPr>
              <w:t>数据文件位于 data 目录；sources.json 已配置来源、文本列和标签列。</w:t>
            </w:r>
          </w:p>
        </w:tc>
      </w:tr>
      <w:tr>
        <w:trPr>
          <w:cantSplit/>
        </w:trPr>
        <w:tc>
          <w:tcPr>
            <w:tcW w:type="dxa" w:w="180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基本事件流</w:t>
            </w:r>
          </w:p>
        </w:tc>
        <w:tc>
          <w:tcPr>
            <w:tcW w:type="dxa" w:w="7272"/>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8"/>
              </w:rPr>
              <w:t>读取清单→载入可用数据源→规范化字段→文本清洗→英文检测→指纹去重→来源与标签联合分层→写入 SQLite 与 CSV。</w:t>
            </w:r>
          </w:p>
        </w:tc>
      </w:tr>
      <w:tr>
        <w:trPr>
          <w:cantSplit/>
        </w:trPr>
        <w:tc>
          <w:tcPr>
            <w:tcW w:type="dxa" w:w="180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其他事件流</w:t>
            </w:r>
          </w:p>
        </w:tc>
        <w:tc>
          <w:tcPr>
            <w:tcW w:type="dxa" w:w="7272"/>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8"/>
              </w:rPr>
              <w:t>仅构建指定来源；允许单文件模式；可选择包含非英文样本。</w:t>
            </w:r>
          </w:p>
        </w:tc>
      </w:tr>
      <w:tr>
        <w:trPr>
          <w:cantSplit/>
        </w:trPr>
        <w:tc>
          <w:tcPr>
            <w:tcW w:type="dxa" w:w="180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异常事件流</w:t>
            </w:r>
          </w:p>
        </w:tc>
        <w:tc>
          <w:tcPr>
            <w:tcW w:type="dxa" w:w="7272"/>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8"/>
              </w:rPr>
              <w:t>缺少必需数据源、字段无法识别、清洗后样本不足或比例配置错误时停止并显示错误。</w:t>
            </w:r>
          </w:p>
        </w:tc>
      </w:tr>
      <w:tr>
        <w:trPr>
          <w:cantSplit/>
        </w:trPr>
        <w:tc>
          <w:tcPr>
            <w:tcW w:type="dxa" w:w="180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后置条件</w:t>
            </w:r>
          </w:p>
        </w:tc>
        <w:tc>
          <w:tcPr>
            <w:tcW w:type="dxa" w:w="7272"/>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8"/>
              </w:rPr>
              <w:t>生成 depression.db、train.csv、val.csv、test.csv 与 dataset_stats.json。</w:t>
            </w:r>
          </w:p>
        </w:tc>
      </w:tr>
      <w:tr>
        <w:trPr>
          <w:cantSplit/>
        </w:trPr>
        <w:tc>
          <w:tcPr>
            <w:tcW w:type="dxa" w:w="180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验证结果</w:t>
            </w:r>
          </w:p>
        </w:tc>
        <w:tc>
          <w:tcPr>
            <w:tcW w:type="dxa" w:w="7272"/>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8"/>
              </w:rPr>
              <w:t>7647 条样本完成切分，三个切分的文本指纹交集为 0。</w:t>
            </w:r>
          </w:p>
        </w:tc>
      </w:tr>
    </w:tbl>
    <w:p>
      <w:pPr>
        <w:spacing w:after="0"/>
      </w:pPr>
    </w:p>
    <w:p>
      <w:pPr>
        <w:pStyle w:val="Heading3"/>
      </w:pPr>
      <w:r>
        <w:t>2.2.2 运行模型实验</w:t>
      </w:r>
    </w:p>
    <w:p>
      <w:pPr>
        <w:pStyle w:val="Caption"/>
      </w:pPr>
      <w:r>
        <w:rPr>
          <w:rFonts w:ascii="Times New Roman" w:hAnsi="Times New Roman" w:eastAsia="宋体"/>
          <w:b w:val="0"/>
          <w:color w:val="1F1F1F"/>
          <w:sz w:val="19"/>
        </w:rPr>
        <w:t>表 2-3 运行模型实验用例描述</w:t>
      </w:r>
    </w:p>
    <w:tbl>
      <w:tblPr>
        <w:tblW w:type="auto" w:w="0"/>
        <w:jc w:val="center"/>
        <w:tblLayout w:type="fixed"/>
        <w:tblLook w:firstColumn="1" w:firstRow="1" w:lastColumn="0" w:lastRow="0" w:noHBand="0" w:noVBand="1" w:val="04A0"/>
        <w:tblBorders>
          <w:top w:val="single" w:sz="6" w:color="7F8C95"/>
          <w:left w:val="single" w:sz="6" w:color="7F8C95"/>
          <w:bottom w:val="single" w:sz="6" w:color="7F8C95"/>
          <w:right w:val="single" w:sz="6" w:color="7F8C95"/>
          <w:insideH w:val="single" w:sz="6" w:color="7F8C95"/>
          <w:insideV w:val="single" w:sz="6" w:color="7F8C95"/>
        </w:tblBorders>
      </w:tblPr>
      <w:tblGrid>
        <w:gridCol w:w="4592"/>
        <w:gridCol w:w="4592"/>
      </w:tblGrid>
      <w:tr>
        <w:trPr>
          <w:tblHeader w:val="true"/>
        </w:trPr>
        <w:tc>
          <w:tcPr>
            <w:tcW w:type="dxa" w:w="1800"/>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8"/>
              </w:rPr>
              <w:t>项目</w:t>
            </w:r>
          </w:p>
        </w:tc>
        <w:tc>
          <w:tcPr>
            <w:tcW w:type="dxa" w:w="7272"/>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8"/>
              </w:rPr>
              <w:t>内容</w:t>
            </w:r>
          </w:p>
        </w:tc>
      </w:tr>
      <w:tr>
        <w:trPr>
          <w:cantSplit/>
        </w:trPr>
        <w:tc>
          <w:tcPr>
            <w:tcW w:type="dxa" w:w="180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用例名称</w:t>
            </w:r>
          </w:p>
        </w:tc>
        <w:tc>
          <w:tcPr>
            <w:tcW w:type="dxa" w:w="7272"/>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训练并比较文本分类模型</w:t>
            </w:r>
          </w:p>
        </w:tc>
      </w:tr>
      <w:tr>
        <w:trPr>
          <w:cantSplit/>
        </w:trPr>
        <w:tc>
          <w:tcPr>
            <w:tcW w:type="dxa" w:w="180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参与者</w:t>
            </w:r>
          </w:p>
        </w:tc>
        <w:tc>
          <w:tcPr>
            <w:tcW w:type="dxa" w:w="7272"/>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项目成员</w:t>
            </w:r>
          </w:p>
        </w:tc>
      </w:tr>
      <w:tr>
        <w:trPr>
          <w:cantSplit/>
        </w:trPr>
        <w:tc>
          <w:tcPr>
            <w:tcW w:type="dxa" w:w="180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前置条件</w:t>
            </w:r>
          </w:p>
        </w:tc>
        <w:tc>
          <w:tcPr>
            <w:tcW w:type="dxa" w:w="7272"/>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8"/>
              </w:rPr>
              <w:t>数据集已构建；Python 依赖安装完成；训练目录可写。</w:t>
            </w:r>
          </w:p>
        </w:tc>
      </w:tr>
      <w:tr>
        <w:trPr>
          <w:cantSplit/>
        </w:trPr>
        <w:tc>
          <w:tcPr>
            <w:tcW w:type="dxa" w:w="180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基本事件流</w:t>
            </w:r>
          </w:p>
        </w:tc>
        <w:tc>
          <w:tcPr>
            <w:tcW w:type="dxa" w:w="7272"/>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8"/>
              </w:rPr>
              <w:t>载入固定切分→构建 Pipeline→训练候选模型→在验证选择子集搜索 F2 阈值→跨域评估→综合评分选模→校准并测试。</w:t>
            </w:r>
          </w:p>
        </w:tc>
      </w:tr>
      <w:tr>
        <w:trPr>
          <w:cantSplit/>
        </w:trPr>
        <w:tc>
          <w:tcPr>
            <w:tcW w:type="dxa" w:w="180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其他事件流</w:t>
            </w:r>
          </w:p>
        </w:tc>
        <w:tc>
          <w:tcPr>
            <w:tcW w:type="dxa" w:w="7272"/>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8"/>
              </w:rPr>
              <w:t>quick 模式只运行核心模型；full 模式增加树模型、消融、OOV 和可选 MiniLM。</w:t>
            </w:r>
          </w:p>
        </w:tc>
      </w:tr>
      <w:tr>
        <w:trPr>
          <w:cantSplit/>
        </w:trPr>
        <w:tc>
          <w:tcPr>
            <w:tcW w:type="dxa" w:w="180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异常事件流</w:t>
            </w:r>
          </w:p>
        </w:tc>
        <w:tc>
          <w:tcPr>
            <w:tcW w:type="dxa" w:w="7272"/>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8"/>
              </w:rPr>
              <w:t>缺少可选 XGBoost 或 sentence-transformers 时跳过对应模型并记录原因。</w:t>
            </w:r>
          </w:p>
        </w:tc>
      </w:tr>
      <w:tr>
        <w:trPr>
          <w:cantSplit/>
        </w:trPr>
        <w:tc>
          <w:tcPr>
            <w:tcW w:type="dxa" w:w="180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后置条件</w:t>
            </w:r>
          </w:p>
        </w:tc>
        <w:tc>
          <w:tcPr>
            <w:tcW w:type="dxa" w:w="7272"/>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8"/>
              </w:rPr>
              <w:t>生成 model_pipeline.pkl、metrics.json、experiment_results.csv 及图表。</w:t>
            </w:r>
          </w:p>
        </w:tc>
      </w:tr>
      <w:tr>
        <w:trPr>
          <w:cantSplit/>
        </w:trPr>
        <w:tc>
          <w:tcPr>
            <w:tcW w:type="dxa" w:w="180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验证结果</w:t>
            </w:r>
          </w:p>
        </w:tc>
        <w:tc>
          <w:tcPr>
            <w:tcW w:type="dxa" w:w="7272"/>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8"/>
              </w:rPr>
              <w:t>完整实验选出逻辑回归，正式测试 F2=0.945。</w:t>
            </w:r>
          </w:p>
        </w:tc>
      </w:tr>
    </w:tbl>
    <w:p>
      <w:pPr>
        <w:spacing w:after="0"/>
      </w:pPr>
    </w:p>
    <w:p>
      <w:pPr>
        <w:pStyle w:val="Heading3"/>
      </w:pPr>
      <w:r>
        <w:t>2.2.3 单条文本检测</w:t>
      </w:r>
    </w:p>
    <w:p>
      <w:pPr>
        <w:pStyle w:val="Caption"/>
      </w:pPr>
      <w:r>
        <w:rPr>
          <w:rFonts w:ascii="Times New Roman" w:hAnsi="Times New Roman" w:eastAsia="宋体"/>
          <w:b w:val="0"/>
          <w:color w:val="1F1F1F"/>
          <w:sz w:val="19"/>
        </w:rPr>
        <w:t>表 2-4 单条文本检测用例描述</w:t>
      </w:r>
    </w:p>
    <w:tbl>
      <w:tblPr>
        <w:tblW w:type="auto" w:w="0"/>
        <w:jc w:val="center"/>
        <w:tblLayout w:type="fixed"/>
        <w:tblLook w:firstColumn="1" w:firstRow="1" w:lastColumn="0" w:lastRow="0" w:noHBand="0" w:noVBand="1" w:val="04A0"/>
        <w:tblBorders>
          <w:top w:val="single" w:sz="6" w:color="7F8C95"/>
          <w:left w:val="single" w:sz="6" w:color="7F8C95"/>
          <w:bottom w:val="single" w:sz="6" w:color="7F8C95"/>
          <w:right w:val="single" w:sz="6" w:color="7F8C95"/>
          <w:insideH w:val="single" w:sz="6" w:color="7F8C95"/>
          <w:insideV w:val="single" w:sz="6" w:color="7F8C95"/>
        </w:tblBorders>
      </w:tblPr>
      <w:tblGrid>
        <w:gridCol w:w="4592"/>
        <w:gridCol w:w="4592"/>
      </w:tblGrid>
      <w:tr>
        <w:trPr>
          <w:tblHeader w:val="true"/>
        </w:trPr>
        <w:tc>
          <w:tcPr>
            <w:tcW w:type="dxa" w:w="1800"/>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8"/>
              </w:rPr>
              <w:t>项目</w:t>
            </w:r>
          </w:p>
        </w:tc>
        <w:tc>
          <w:tcPr>
            <w:tcW w:type="dxa" w:w="7272"/>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8"/>
              </w:rPr>
              <w:t>内容</w:t>
            </w:r>
          </w:p>
        </w:tc>
      </w:tr>
      <w:tr>
        <w:trPr>
          <w:cantSplit/>
        </w:trPr>
        <w:tc>
          <w:tcPr>
            <w:tcW w:type="dxa" w:w="180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用例名称</w:t>
            </w:r>
          </w:p>
        </w:tc>
        <w:tc>
          <w:tcPr>
            <w:tcW w:type="dxa" w:w="7272"/>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输入英文文本并展示模型结果</w:t>
            </w:r>
          </w:p>
        </w:tc>
      </w:tr>
      <w:tr>
        <w:trPr>
          <w:cantSplit/>
        </w:trPr>
        <w:tc>
          <w:tcPr>
            <w:tcW w:type="dxa" w:w="180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参与者</w:t>
            </w:r>
          </w:p>
        </w:tc>
        <w:tc>
          <w:tcPr>
            <w:tcW w:type="dxa" w:w="7272"/>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课程演示用户</w:t>
            </w:r>
          </w:p>
        </w:tc>
      </w:tr>
      <w:tr>
        <w:trPr>
          <w:cantSplit/>
        </w:trPr>
        <w:tc>
          <w:tcPr>
            <w:tcW w:type="dxa" w:w="180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前置条件</w:t>
            </w:r>
          </w:p>
        </w:tc>
        <w:tc>
          <w:tcPr>
            <w:tcW w:type="dxa" w:w="7272"/>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8"/>
              </w:rPr>
              <w:t>训练产物完整；Tkinter 环境可用；输入文本不少于规定字符数。</w:t>
            </w:r>
          </w:p>
        </w:tc>
      </w:tr>
      <w:tr>
        <w:trPr>
          <w:cantSplit/>
        </w:trPr>
        <w:tc>
          <w:tcPr>
            <w:tcW w:type="dxa" w:w="180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基本事件流</w:t>
            </w:r>
          </w:p>
        </w:tc>
        <w:tc>
          <w:tcPr>
            <w:tcW w:type="dxa" w:w="7272"/>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8"/>
              </w:rPr>
              <w:t>用户粘贴文本→系统检查长度和英文比例→执行与训练一致的预处理和 Pipeline→应用校准器→显示模型阳性分数和风险档位。</w:t>
            </w:r>
          </w:p>
        </w:tc>
      </w:tr>
      <w:tr>
        <w:trPr>
          <w:cantSplit/>
        </w:trPr>
        <w:tc>
          <w:tcPr>
            <w:tcW w:type="dxa" w:w="180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其他事件流</w:t>
            </w:r>
          </w:p>
        </w:tc>
        <w:tc>
          <w:tcPr>
            <w:tcW w:type="dxa" w:w="7272"/>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8"/>
              </w:rPr>
              <w:t>同时统计 EMNLP'17 词典命中，作为文本证据摘要。</w:t>
            </w:r>
          </w:p>
        </w:tc>
      </w:tr>
      <w:tr>
        <w:trPr>
          <w:cantSplit/>
        </w:trPr>
        <w:tc>
          <w:tcPr>
            <w:tcW w:type="dxa" w:w="180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异常事件流</w:t>
            </w:r>
          </w:p>
        </w:tc>
        <w:tc>
          <w:tcPr>
            <w:tcW w:type="dxa" w:w="7272"/>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8"/>
              </w:rPr>
              <w:t>空文本、文本过短、非英文占比过高或模型文件损坏时给出明确提示。</w:t>
            </w:r>
          </w:p>
        </w:tc>
      </w:tr>
      <w:tr>
        <w:trPr>
          <w:cantSplit/>
        </w:trPr>
        <w:tc>
          <w:tcPr>
            <w:tcW w:type="dxa" w:w="180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后置条件</w:t>
            </w:r>
          </w:p>
        </w:tc>
        <w:tc>
          <w:tcPr>
            <w:tcW w:type="dxa" w:w="7272"/>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8"/>
              </w:rPr>
              <w:t>界面保留输入内容和本次结果，用户可清空并重新检测。</w:t>
            </w:r>
          </w:p>
        </w:tc>
      </w:tr>
      <w:tr>
        <w:trPr>
          <w:cantSplit/>
        </w:trPr>
        <w:tc>
          <w:tcPr>
            <w:tcW w:type="dxa" w:w="180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安全说明</w:t>
            </w:r>
          </w:p>
        </w:tc>
        <w:tc>
          <w:tcPr>
            <w:tcW w:type="dxa" w:w="7272"/>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8"/>
              </w:rPr>
              <w:t>结果不得解释为患病概率；若存在即时自伤危险，应联系当地急救或危机热线。</w:t>
            </w:r>
          </w:p>
        </w:tc>
      </w:tr>
    </w:tbl>
    <w:p>
      <w:pPr>
        <w:spacing w:after="0"/>
      </w:pPr>
    </w:p>
    <w:p>
      <w:pPr>
        <w:pStyle w:val="Heading3"/>
      </w:pPr>
      <w:r>
        <w:t>2.2.4 CSV 批量推理</w:t>
      </w:r>
    </w:p>
    <w:p>
      <w:pPr>
        <w:pStyle w:val="Caption"/>
      </w:pPr>
      <w:r>
        <w:rPr>
          <w:rFonts w:ascii="Times New Roman" w:hAnsi="Times New Roman" w:eastAsia="宋体"/>
          <w:b w:val="0"/>
          <w:color w:val="1F1F1F"/>
          <w:sz w:val="19"/>
        </w:rPr>
        <w:t>表 2-5 CSV 批量推理用例描述</w:t>
      </w:r>
    </w:p>
    <w:tbl>
      <w:tblPr>
        <w:tblW w:type="auto" w:w="0"/>
        <w:jc w:val="center"/>
        <w:tblLayout w:type="fixed"/>
        <w:tblLook w:firstColumn="1" w:firstRow="1" w:lastColumn="0" w:lastRow="0" w:noHBand="0" w:noVBand="1" w:val="04A0"/>
        <w:tblBorders>
          <w:top w:val="single" w:sz="6" w:color="7F8C95"/>
          <w:left w:val="single" w:sz="6" w:color="7F8C95"/>
          <w:bottom w:val="single" w:sz="6" w:color="7F8C95"/>
          <w:right w:val="single" w:sz="6" w:color="7F8C95"/>
          <w:insideH w:val="single" w:sz="6" w:color="7F8C95"/>
          <w:insideV w:val="single" w:sz="6" w:color="7F8C95"/>
        </w:tblBorders>
      </w:tblPr>
      <w:tblGrid>
        <w:gridCol w:w="4592"/>
        <w:gridCol w:w="4592"/>
      </w:tblGrid>
      <w:tr>
        <w:trPr>
          <w:tblHeader w:val="true"/>
        </w:trPr>
        <w:tc>
          <w:tcPr>
            <w:tcW w:type="dxa" w:w="1800"/>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8"/>
              </w:rPr>
              <w:t>项目</w:t>
            </w:r>
          </w:p>
        </w:tc>
        <w:tc>
          <w:tcPr>
            <w:tcW w:type="dxa" w:w="7272"/>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8"/>
              </w:rPr>
              <w:t>内容</w:t>
            </w:r>
          </w:p>
        </w:tc>
      </w:tr>
      <w:tr>
        <w:trPr>
          <w:cantSplit/>
        </w:trPr>
        <w:tc>
          <w:tcPr>
            <w:tcW w:type="dxa" w:w="180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用例名称</w:t>
            </w:r>
          </w:p>
        </w:tc>
        <w:tc>
          <w:tcPr>
            <w:tcW w:type="dxa" w:w="7272"/>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批量处理 CSV 文本</w:t>
            </w:r>
          </w:p>
        </w:tc>
      </w:tr>
      <w:tr>
        <w:trPr>
          <w:cantSplit/>
        </w:trPr>
        <w:tc>
          <w:tcPr>
            <w:tcW w:type="dxa" w:w="180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参与者</w:t>
            </w:r>
          </w:p>
        </w:tc>
        <w:tc>
          <w:tcPr>
            <w:tcW w:type="dxa" w:w="7272"/>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项目成员或课程演示用户</w:t>
            </w:r>
          </w:p>
        </w:tc>
      </w:tr>
      <w:tr>
        <w:trPr>
          <w:cantSplit/>
        </w:trPr>
        <w:tc>
          <w:tcPr>
            <w:tcW w:type="dxa" w:w="180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前置条件</w:t>
            </w:r>
          </w:p>
        </w:tc>
        <w:tc>
          <w:tcPr>
            <w:tcW w:type="dxa" w:w="7272"/>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8"/>
              </w:rPr>
              <w:t>输入 CSV 可读；文本列存在或可被自动识别；模型产物完整。</w:t>
            </w:r>
          </w:p>
        </w:tc>
      </w:tr>
      <w:tr>
        <w:trPr>
          <w:cantSplit/>
        </w:trPr>
        <w:tc>
          <w:tcPr>
            <w:tcW w:type="dxa" w:w="180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基本事件流</w:t>
            </w:r>
          </w:p>
        </w:tc>
        <w:tc>
          <w:tcPr>
            <w:tcW w:type="dxa" w:w="7272"/>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8"/>
              </w:rPr>
              <w:t>读取 CSV→识别文本列→逐条推理→附加 model_score、risk_tier、model_version→写入新文件。</w:t>
            </w:r>
          </w:p>
        </w:tc>
      </w:tr>
      <w:tr>
        <w:trPr>
          <w:cantSplit/>
        </w:trPr>
        <w:tc>
          <w:tcPr>
            <w:tcW w:type="dxa" w:w="180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其他事件流</w:t>
            </w:r>
          </w:p>
        </w:tc>
        <w:tc>
          <w:tcPr>
            <w:tcW w:type="dxa" w:w="7272"/>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8"/>
              </w:rPr>
              <w:t>通过 --text-column 指定非标准列名；通过 --artifacts 使用其他模型版本。</w:t>
            </w:r>
          </w:p>
        </w:tc>
      </w:tr>
      <w:tr>
        <w:trPr>
          <w:cantSplit/>
        </w:trPr>
        <w:tc>
          <w:tcPr>
            <w:tcW w:type="dxa" w:w="180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异常事件流</w:t>
            </w:r>
          </w:p>
        </w:tc>
        <w:tc>
          <w:tcPr>
            <w:tcW w:type="dxa" w:w="7272"/>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8"/>
              </w:rPr>
              <w:t>文本列不存在、文件编码异常或输出路径不可写时停止并显示原因。</w:t>
            </w:r>
          </w:p>
        </w:tc>
      </w:tr>
      <w:tr>
        <w:trPr>
          <w:cantSplit/>
        </w:trPr>
        <w:tc>
          <w:tcPr>
            <w:tcW w:type="dxa" w:w="180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后置条件</w:t>
            </w:r>
          </w:p>
        </w:tc>
        <w:tc>
          <w:tcPr>
            <w:tcW w:type="dxa" w:w="7272"/>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8"/>
              </w:rPr>
              <w:t>原始字段被保留，新增字段可用于统计和课堂展示。</w:t>
            </w:r>
          </w:p>
        </w:tc>
      </w:tr>
      <w:tr>
        <w:trPr>
          <w:cantSplit/>
        </w:trPr>
        <w:tc>
          <w:tcPr>
            <w:tcW w:type="dxa" w:w="180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验证结果</w:t>
            </w:r>
          </w:p>
        </w:tc>
        <w:tc>
          <w:tcPr>
            <w:tcW w:type="dxa" w:w="7272"/>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8"/>
              </w:rPr>
              <w:t>已在 600 条合成测试文本上完成端到端推理。</w:t>
            </w:r>
          </w:p>
        </w:tc>
      </w:tr>
    </w:tbl>
    <w:p>
      <w:pPr>
        <w:spacing w:after="0"/>
      </w:pPr>
    </w:p>
    <w:p>
      <w:r>
        <w:br w:type="page"/>
      </w:r>
    </w:p>
    <w:p>
      <w:pPr>
        <w:pStyle w:val="Heading3"/>
      </w:pPr>
      <w:r>
        <w:t>2.2.5 查看实验结果</w:t>
      </w:r>
    </w:p>
    <w:p>
      <w:pPr>
        <w:pStyle w:val="Caption"/>
      </w:pPr>
      <w:r>
        <w:rPr>
          <w:rFonts w:ascii="Times New Roman" w:hAnsi="Times New Roman" w:eastAsia="宋体"/>
          <w:b w:val="0"/>
          <w:color w:val="1F1F1F"/>
          <w:sz w:val="19"/>
        </w:rPr>
        <w:t>表 2-6 查看实验结果用例描述</w:t>
      </w:r>
    </w:p>
    <w:tbl>
      <w:tblPr>
        <w:tblW w:type="auto" w:w="0"/>
        <w:jc w:val="center"/>
        <w:tblLayout w:type="fixed"/>
        <w:tblLook w:firstColumn="1" w:firstRow="1" w:lastColumn="0" w:lastRow="0" w:noHBand="0" w:noVBand="1" w:val="04A0"/>
        <w:tblBorders>
          <w:top w:val="single" w:sz="6" w:color="7F8C95"/>
          <w:left w:val="single" w:sz="6" w:color="7F8C95"/>
          <w:bottom w:val="single" w:sz="6" w:color="7F8C95"/>
          <w:right w:val="single" w:sz="6" w:color="7F8C95"/>
          <w:insideH w:val="single" w:sz="6" w:color="7F8C95"/>
          <w:insideV w:val="single" w:sz="6" w:color="7F8C95"/>
        </w:tblBorders>
      </w:tblPr>
      <w:tblGrid>
        <w:gridCol w:w="4592"/>
        <w:gridCol w:w="4592"/>
      </w:tblGrid>
      <w:tr>
        <w:trPr>
          <w:tblHeader w:val="true"/>
        </w:trPr>
        <w:tc>
          <w:tcPr>
            <w:tcW w:type="dxa" w:w="1800"/>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8"/>
              </w:rPr>
              <w:t>项目</w:t>
            </w:r>
          </w:p>
        </w:tc>
        <w:tc>
          <w:tcPr>
            <w:tcW w:type="dxa" w:w="7272"/>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8"/>
              </w:rPr>
              <w:t>内容</w:t>
            </w:r>
          </w:p>
        </w:tc>
      </w:tr>
      <w:tr>
        <w:trPr>
          <w:cantSplit/>
        </w:trPr>
        <w:tc>
          <w:tcPr>
            <w:tcW w:type="dxa" w:w="180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用例名称</w:t>
            </w:r>
          </w:p>
        </w:tc>
        <w:tc>
          <w:tcPr>
            <w:tcW w:type="dxa" w:w="7272"/>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查看训练与测试报告</w:t>
            </w:r>
          </w:p>
        </w:tc>
      </w:tr>
      <w:tr>
        <w:trPr>
          <w:cantSplit/>
        </w:trPr>
        <w:tc>
          <w:tcPr>
            <w:tcW w:type="dxa" w:w="180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参与者</w:t>
            </w:r>
          </w:p>
        </w:tc>
        <w:tc>
          <w:tcPr>
            <w:tcW w:type="dxa" w:w="7272"/>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项目成员、指导教师</w:t>
            </w:r>
          </w:p>
        </w:tc>
      </w:tr>
      <w:tr>
        <w:trPr>
          <w:cantSplit/>
        </w:trPr>
        <w:tc>
          <w:tcPr>
            <w:tcW w:type="dxa" w:w="180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前置条件</w:t>
            </w:r>
          </w:p>
        </w:tc>
        <w:tc>
          <w:tcPr>
            <w:tcW w:type="dxa" w:w="7272"/>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8"/>
              </w:rPr>
              <w:t>至少完成一次 quick 或 full 训练。</w:t>
            </w:r>
          </w:p>
        </w:tc>
      </w:tr>
      <w:tr>
        <w:trPr>
          <w:cantSplit/>
        </w:trPr>
        <w:tc>
          <w:tcPr>
            <w:tcW w:type="dxa" w:w="180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基本事件流</w:t>
            </w:r>
          </w:p>
        </w:tc>
        <w:tc>
          <w:tcPr>
            <w:tcW w:type="dxa" w:w="7272"/>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8"/>
              </w:rPr>
              <w:t>打开 metrics.json 或 Notebook→查看模型比较、测试指标、置信区间、校准、跨域和消融结果→查看 PNG 图表与错误案例。</w:t>
            </w:r>
          </w:p>
        </w:tc>
      </w:tr>
      <w:tr>
        <w:trPr>
          <w:cantSplit/>
        </w:trPr>
        <w:tc>
          <w:tcPr>
            <w:tcW w:type="dxa" w:w="180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其他事件流</w:t>
            </w:r>
          </w:p>
        </w:tc>
        <w:tc>
          <w:tcPr>
            <w:tcW w:type="dxa" w:w="7272"/>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8"/>
              </w:rPr>
              <w:t>根据 model_metadata.json 核对代码版本、随机种子、依赖版本和数据指纹。</w:t>
            </w:r>
          </w:p>
        </w:tc>
      </w:tr>
      <w:tr>
        <w:trPr>
          <w:cantSplit/>
        </w:trPr>
        <w:tc>
          <w:tcPr>
            <w:tcW w:type="dxa" w:w="180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异常事件流</w:t>
            </w:r>
          </w:p>
        </w:tc>
        <w:tc>
          <w:tcPr>
            <w:tcW w:type="dxa" w:w="7272"/>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8"/>
              </w:rPr>
              <w:t>某个可选数据源不存在时，在 OOV 报告中明确标记 skipped，不将其计为完成实验。</w:t>
            </w:r>
          </w:p>
        </w:tc>
      </w:tr>
      <w:tr>
        <w:trPr>
          <w:cantSplit/>
        </w:trPr>
        <w:tc>
          <w:tcPr>
            <w:tcW w:type="dxa" w:w="180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后置条件</w:t>
            </w:r>
          </w:p>
        </w:tc>
        <w:tc>
          <w:tcPr>
            <w:tcW w:type="dxa" w:w="7272"/>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8"/>
              </w:rPr>
              <w:t>形成可追溯的实验结论，可直接引用到课程报告。</w:t>
            </w:r>
          </w:p>
        </w:tc>
      </w:tr>
      <w:tr>
        <w:trPr>
          <w:cantSplit/>
        </w:trPr>
        <w:tc>
          <w:tcPr>
            <w:tcW w:type="dxa" w:w="180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验证结果</w:t>
            </w:r>
          </w:p>
        </w:tc>
        <w:tc>
          <w:tcPr>
            <w:tcW w:type="dxa" w:w="7272"/>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8"/>
              </w:rPr>
              <w:t>metrics.json 与 risk_thresholds.json 中的阈值完全一致。</w:t>
            </w:r>
          </w:p>
        </w:tc>
      </w:tr>
    </w:tbl>
    <w:p>
      <w:pPr>
        <w:spacing w:after="0"/>
      </w:pPr>
    </w:p>
    <w:p>
      <w:pPr>
        <w:pStyle w:val="Heading2"/>
      </w:pPr>
      <w:r>
        <w:t>2.3 非功能性需求</w:t>
      </w:r>
    </w:p>
    <w:p>
      <w:pPr>
        <w:pStyle w:val="Caption"/>
      </w:pPr>
      <w:r>
        <w:rPr>
          <w:rFonts w:ascii="Times New Roman" w:hAnsi="Times New Roman" w:eastAsia="宋体"/>
          <w:b w:val="0"/>
          <w:color w:val="1F1F1F"/>
          <w:sz w:val="19"/>
        </w:rPr>
        <w:t>表 2-7 非功能性需求</w:t>
      </w:r>
    </w:p>
    <w:tbl>
      <w:tblPr>
        <w:tblW w:type="auto" w:w="0"/>
        <w:jc w:val="center"/>
        <w:tblLayout w:type="fixed"/>
        <w:tblLook w:firstColumn="1" w:firstRow="1" w:lastColumn="0" w:lastRow="0" w:noHBand="0" w:noVBand="1" w:val="04A0"/>
        <w:tblBorders>
          <w:top w:val="single" w:sz="6" w:color="7F8C95"/>
          <w:left w:val="single" w:sz="6" w:color="7F8C95"/>
          <w:bottom w:val="single" w:sz="6" w:color="7F8C95"/>
          <w:right w:val="single" w:sz="6" w:color="7F8C95"/>
          <w:insideH w:val="single" w:sz="6" w:color="7F8C95"/>
          <w:insideV w:val="single" w:sz="6" w:color="7F8C95"/>
        </w:tblBorders>
      </w:tblPr>
      <w:tblGrid>
        <w:gridCol w:w="3062"/>
        <w:gridCol w:w="3062"/>
        <w:gridCol w:w="3062"/>
      </w:tblGrid>
      <w:tr>
        <w:trPr>
          <w:tblHeader w:val="true"/>
        </w:trPr>
        <w:tc>
          <w:tcPr>
            <w:tcW w:type="dxa" w:w="1440"/>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7"/>
              </w:rPr>
              <w:t>类别</w:t>
            </w:r>
          </w:p>
        </w:tc>
        <w:tc>
          <w:tcPr>
            <w:tcW w:type="dxa" w:w="3528"/>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7"/>
              </w:rPr>
              <w:t>要求</w:t>
            </w:r>
          </w:p>
        </w:tc>
        <w:tc>
          <w:tcPr>
            <w:tcW w:type="dxa" w:w="4104"/>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7"/>
              </w:rPr>
              <w:t>实现方式</w:t>
            </w:r>
          </w:p>
        </w:tc>
      </w:tr>
      <w:tr>
        <w:trPr>
          <w:cantSplit/>
        </w:trPr>
        <w:tc>
          <w:tcPr>
            <w:tcW w:type="dxa" w:w="144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可复现性</w:t>
            </w:r>
          </w:p>
        </w:tc>
        <w:tc>
          <w:tcPr>
            <w:tcW w:type="dxa" w:w="3528"/>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相同数据和随机种子可重现实验流程</w:t>
            </w:r>
          </w:p>
        </w:tc>
        <w:tc>
          <w:tcPr>
            <w:tcW w:type="dxa" w:w="4104"/>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7"/>
              </w:rPr>
              <w:t>记录随机种子 42、Git 修订号、依赖版本和数据指纹。</w:t>
            </w:r>
          </w:p>
        </w:tc>
      </w:tr>
      <w:tr>
        <w:trPr>
          <w:cantSplit/>
        </w:trPr>
        <w:tc>
          <w:tcPr>
            <w:tcW w:type="dxa" w:w="144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性能</w:t>
            </w:r>
          </w:p>
        </w:tc>
        <w:tc>
          <w:tcPr>
            <w:tcW w:type="dxa" w:w="3528"/>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普通笔记本电脑可完成基础训练和推理</w:t>
            </w:r>
          </w:p>
        </w:tc>
        <w:tc>
          <w:tcPr>
            <w:tcW w:type="dxa" w:w="4104"/>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7"/>
              </w:rPr>
              <w:t>默认 quick 模式；TF-IDF 最大特征数 6000；训练集支持上限采样。</w:t>
            </w:r>
          </w:p>
        </w:tc>
      </w:tr>
      <w:tr>
        <w:trPr>
          <w:cantSplit/>
        </w:trPr>
        <w:tc>
          <w:tcPr>
            <w:tcW w:type="dxa" w:w="144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稳定性</w:t>
            </w:r>
          </w:p>
        </w:tc>
        <w:tc>
          <w:tcPr>
            <w:tcW w:type="dxa" w:w="3528"/>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7"/>
              </w:rPr>
              <w:t>输入错误不能导致 GUI 无提示退出</w:t>
            </w:r>
          </w:p>
        </w:tc>
        <w:tc>
          <w:tcPr>
            <w:tcW w:type="dxa" w:w="4104"/>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7"/>
              </w:rPr>
              <w:t>长度、语言比例和模型异常均通过消息框反馈。</w:t>
            </w:r>
          </w:p>
        </w:tc>
      </w:tr>
      <w:tr>
        <w:trPr>
          <w:cantSplit/>
        </w:trPr>
        <w:tc>
          <w:tcPr>
            <w:tcW w:type="dxa" w:w="144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可维护性</w:t>
            </w:r>
          </w:p>
        </w:tc>
        <w:tc>
          <w:tcPr>
            <w:tcW w:type="dxa" w:w="3528"/>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7"/>
              </w:rPr>
              <w:t>数据、特征、训练、评估、风险和界面解耦</w:t>
            </w:r>
          </w:p>
        </w:tc>
        <w:tc>
          <w:tcPr>
            <w:tcW w:type="dxa" w:w="4104"/>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7"/>
              </w:rPr>
              <w:t>采用 src 包结构、统一 Pipeline、脚本入口和单元测试。</w:t>
            </w:r>
          </w:p>
        </w:tc>
      </w:tr>
      <w:tr>
        <w:trPr>
          <w:cantSplit/>
        </w:trPr>
        <w:tc>
          <w:tcPr>
            <w:tcW w:type="dxa" w:w="144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隐私</w:t>
            </w:r>
          </w:p>
        </w:tc>
        <w:tc>
          <w:tcPr>
            <w:tcW w:type="dxa" w:w="3528"/>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7"/>
              </w:rPr>
              <w:t>不主动上传文本，不承诺保存个人医疗信息</w:t>
            </w:r>
          </w:p>
        </w:tc>
        <w:tc>
          <w:tcPr>
            <w:tcW w:type="dxa" w:w="4104"/>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7"/>
              </w:rPr>
              <w:t>系统在本地运行；报告不展示可识别的个人资料。</w:t>
            </w:r>
          </w:p>
        </w:tc>
      </w:tr>
      <w:tr>
        <w:trPr>
          <w:cantSplit/>
        </w:trPr>
        <w:tc>
          <w:tcPr>
            <w:tcW w:type="dxa" w:w="144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伦理</w:t>
            </w:r>
          </w:p>
        </w:tc>
        <w:tc>
          <w:tcPr>
            <w:tcW w:type="dxa" w:w="3528"/>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避免医学化、污名化和过度解释</w:t>
            </w:r>
          </w:p>
        </w:tc>
        <w:tc>
          <w:tcPr>
            <w:tcW w:type="dxa" w:w="4104"/>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7"/>
              </w:rPr>
              <w:t>统一使用“模型阳性分数”，固定展示非诊断声明。</w:t>
            </w:r>
          </w:p>
        </w:tc>
      </w:tr>
    </w:tbl>
    <w:p>
      <w:pPr>
        <w:spacing w:after="0"/>
      </w:pPr>
    </w:p>
    <w:p>
      <w:pPr>
        <w:pStyle w:val="Heading1"/>
      </w:pPr>
      <w:r>
        <w:t>三、技术路线及实现</w:t>
      </w:r>
    </w:p>
    <w:p>
      <w:pPr>
        <w:pStyle w:val="Heading2"/>
      </w:pPr>
      <w:r>
        <w:t>3.1 系统环境</w:t>
      </w:r>
    </w:p>
    <w:p>
      <w:pPr>
        <w:pStyle w:val="Heading3"/>
      </w:pPr>
      <w:r>
        <w:t>3.1.1 开发环境</w:t>
      </w:r>
    </w:p>
    <w:p>
      <w:r>
        <w:rPr>
          <w:rFonts w:ascii="Times New Roman" w:hAnsi="Times New Roman" w:eastAsia="宋体"/>
          <w:b w:val="0"/>
          <w:color w:val="1F1F1F"/>
          <w:sz w:val="21"/>
        </w:rPr>
        <w:t>项目在 macOS 环境下完成，主要使用 Python 3.12 虚拟环境进行开发和测试。工程采用 src 布局管理可复用模块，命令行脚本负责数据构建、训练、OOV 评估、批量推理和 GUI 启动。最终实验记录的核心依赖版本如下。</w:t>
      </w:r>
    </w:p>
    <w:p>
      <w:pPr>
        <w:pStyle w:val="Caption"/>
      </w:pPr>
      <w:r>
        <w:rPr>
          <w:rFonts w:ascii="Times New Roman" w:hAnsi="Times New Roman" w:eastAsia="宋体"/>
          <w:b w:val="0"/>
          <w:color w:val="1F1F1F"/>
          <w:sz w:val="19"/>
        </w:rPr>
        <w:t>表 3-1 软件与依赖环境</w:t>
      </w:r>
    </w:p>
    <w:tbl>
      <w:tblPr>
        <w:tblW w:type="auto" w:w="0"/>
        <w:jc w:val="center"/>
        <w:tblLayout w:type="fixed"/>
        <w:tblLook w:firstColumn="1" w:firstRow="1" w:lastColumn="0" w:lastRow="0" w:noHBand="0" w:noVBand="1" w:val="04A0"/>
        <w:tblBorders>
          <w:top w:val="single" w:sz="6" w:color="7F8C95"/>
          <w:left w:val="single" w:sz="6" w:color="7F8C95"/>
          <w:bottom w:val="single" w:sz="6" w:color="7F8C95"/>
          <w:right w:val="single" w:sz="6" w:color="7F8C95"/>
          <w:insideH w:val="single" w:sz="6" w:color="7F8C95"/>
          <w:insideV w:val="single" w:sz="6" w:color="7F8C95"/>
        </w:tblBorders>
      </w:tblPr>
      <w:tblGrid>
        <w:gridCol w:w="3062"/>
        <w:gridCol w:w="3062"/>
        <w:gridCol w:w="3062"/>
      </w:tblGrid>
      <w:tr>
        <w:trPr>
          <w:tblHeader w:val="true"/>
        </w:trPr>
        <w:tc>
          <w:tcPr>
            <w:tcW w:type="dxa" w:w="2015"/>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7"/>
              </w:rPr>
              <w:t>软件/库</w:t>
            </w:r>
          </w:p>
        </w:tc>
        <w:tc>
          <w:tcPr>
            <w:tcW w:type="dxa" w:w="2160"/>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7"/>
              </w:rPr>
              <w:t>版本或用途</w:t>
            </w:r>
          </w:p>
        </w:tc>
        <w:tc>
          <w:tcPr>
            <w:tcW w:type="dxa" w:w="4824"/>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7"/>
              </w:rPr>
              <w:t>项目作用</w:t>
            </w:r>
          </w:p>
        </w:tc>
      </w:tr>
      <w:tr>
        <w:trPr>
          <w:cantSplit/>
        </w:trPr>
        <w:tc>
          <w:tcPr>
            <w:tcW w:type="dxa" w:w="2015"/>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Python</w:t>
            </w:r>
          </w:p>
        </w:tc>
        <w:tc>
          <w:tcPr>
            <w:tcW w:type="dxa" w:w="216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3.11 及以上</w:t>
            </w:r>
          </w:p>
        </w:tc>
        <w:tc>
          <w:tcPr>
            <w:tcW w:type="dxa" w:w="4824"/>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主要开发语言与运行环境</w:t>
            </w:r>
          </w:p>
        </w:tc>
      </w:tr>
      <w:tr>
        <w:trPr>
          <w:cantSplit/>
        </w:trPr>
        <w:tc>
          <w:tcPr>
            <w:tcW w:type="dxa" w:w="2015"/>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NumPy</w:t>
            </w:r>
          </w:p>
        </w:tc>
        <w:tc>
          <w:tcPr>
            <w:tcW w:type="dxa" w:w="216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2.4.4</w:t>
            </w:r>
          </w:p>
        </w:tc>
        <w:tc>
          <w:tcPr>
            <w:tcW w:type="dxa" w:w="4824"/>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7"/>
              </w:rPr>
              <w:t>数值计算、概率数组与 bootstrap</w:t>
            </w:r>
          </w:p>
        </w:tc>
      </w:tr>
      <w:tr>
        <w:trPr>
          <w:cantSplit/>
        </w:trPr>
        <w:tc>
          <w:tcPr>
            <w:tcW w:type="dxa" w:w="2015"/>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pandas</w:t>
            </w:r>
          </w:p>
        </w:tc>
        <w:tc>
          <w:tcPr>
            <w:tcW w:type="dxa" w:w="216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3.0.3</w:t>
            </w:r>
          </w:p>
        </w:tc>
        <w:tc>
          <w:tcPr>
            <w:tcW w:type="dxa" w:w="4824"/>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CSV 与表格数据处理</w:t>
            </w:r>
          </w:p>
        </w:tc>
      </w:tr>
      <w:tr>
        <w:trPr>
          <w:cantSplit/>
        </w:trPr>
        <w:tc>
          <w:tcPr>
            <w:tcW w:type="dxa" w:w="2015"/>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scikit-learn</w:t>
            </w:r>
          </w:p>
        </w:tc>
        <w:tc>
          <w:tcPr>
            <w:tcW w:type="dxa" w:w="216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1.8.0</w:t>
            </w:r>
          </w:p>
        </w:tc>
        <w:tc>
          <w:tcPr>
            <w:tcW w:type="dxa" w:w="4824"/>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TF-IDF、模型、校准与指标</w:t>
            </w:r>
          </w:p>
        </w:tc>
      </w:tr>
      <w:tr>
        <w:trPr>
          <w:cantSplit/>
        </w:trPr>
        <w:tc>
          <w:tcPr>
            <w:tcW w:type="dxa" w:w="2015"/>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imbalanced-learn</w:t>
            </w:r>
          </w:p>
        </w:tc>
        <w:tc>
          <w:tcPr>
            <w:tcW w:type="dxa" w:w="216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0.14.1</w:t>
            </w:r>
          </w:p>
        </w:tc>
        <w:tc>
          <w:tcPr>
            <w:tcW w:type="dxa" w:w="4824"/>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7"/>
              </w:rPr>
              <w:t>RandomOverSampler 与 Pipeline</w:t>
            </w:r>
          </w:p>
        </w:tc>
      </w:tr>
      <w:tr>
        <w:trPr>
          <w:cantSplit/>
        </w:trPr>
        <w:tc>
          <w:tcPr>
            <w:tcW w:type="dxa" w:w="2015"/>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XGBoost</w:t>
            </w:r>
          </w:p>
        </w:tc>
        <w:tc>
          <w:tcPr>
            <w:tcW w:type="dxa" w:w="216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3.2.0</w:t>
            </w:r>
          </w:p>
        </w:tc>
        <w:tc>
          <w:tcPr>
            <w:tcW w:type="dxa" w:w="4824"/>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梯度提升树对比模型</w:t>
            </w:r>
          </w:p>
        </w:tc>
      </w:tr>
      <w:tr>
        <w:trPr>
          <w:cantSplit/>
        </w:trPr>
        <w:tc>
          <w:tcPr>
            <w:tcW w:type="dxa" w:w="2015"/>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VADER</w:t>
            </w:r>
          </w:p>
        </w:tc>
        <w:tc>
          <w:tcPr>
            <w:tcW w:type="dxa" w:w="216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3.3.2+</w:t>
            </w:r>
          </w:p>
        </w:tc>
        <w:tc>
          <w:tcPr>
            <w:tcW w:type="dxa" w:w="4824"/>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英文社交媒体情感复合分</w:t>
            </w:r>
          </w:p>
        </w:tc>
      </w:tr>
      <w:tr>
        <w:trPr>
          <w:cantSplit/>
        </w:trPr>
        <w:tc>
          <w:tcPr>
            <w:tcW w:type="dxa" w:w="2015"/>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SQLite</w:t>
            </w:r>
          </w:p>
        </w:tc>
        <w:tc>
          <w:tcPr>
            <w:tcW w:type="dxa" w:w="216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Python 标准库</w:t>
            </w:r>
          </w:p>
        </w:tc>
        <w:tc>
          <w:tcPr>
            <w:tcW w:type="dxa" w:w="4824"/>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本地数据集与切分存储</w:t>
            </w:r>
          </w:p>
        </w:tc>
      </w:tr>
      <w:tr>
        <w:trPr>
          <w:cantSplit/>
        </w:trPr>
        <w:tc>
          <w:tcPr>
            <w:tcW w:type="dxa" w:w="2015"/>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Tkinter</w:t>
            </w:r>
          </w:p>
        </w:tc>
        <w:tc>
          <w:tcPr>
            <w:tcW w:type="dxa" w:w="216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Python 标准库</w:t>
            </w:r>
          </w:p>
        </w:tc>
        <w:tc>
          <w:tcPr>
            <w:tcW w:type="dxa" w:w="4824"/>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桌面图形界面</w:t>
            </w:r>
          </w:p>
        </w:tc>
      </w:tr>
    </w:tbl>
    <w:p>
      <w:pPr>
        <w:spacing w:after="0"/>
      </w:pPr>
    </w:p>
    <w:p>
      <w:pPr>
        <w:pStyle w:val="Heading3"/>
      </w:pPr>
      <w:r>
        <w:t>3.1.2 工程目录</w:t>
      </w:r>
    </w:p>
    <w:p>
      <w:pPr>
        <w:spacing w:before="80" w:after="120" w:line="252" w:lineRule="auto"/>
        <w:ind w:firstLine="0" w:left="227" w:right="227"/>
        <w:shd w:fill="F1F3F5"/>
      </w:pPr>
      <w:r>
        <w:rPr>
          <w:rFonts w:ascii="Courier New" w:hAnsi="Courier New" w:eastAsia="等线"/>
          <w:b w:val="0"/>
          <w:color w:val="263238"/>
          <w:sz w:val="17"/>
        </w:rPr>
        <w:t>src/depression_ml/   数据、特征、训练、评估、风险与推理模块</w:t>
        <w:br/>
        <w:t>scripts/             数据构建、训练、GUI、OOV、批量推理入口</w:t>
        <w:br/>
        <w:t>data/                数据清单、SQLite、固定切分和统计信息</w:t>
        <w:br/>
        <w:t>artifacts/           模型 Pipeline、指标、图表和错误案例</w:t>
        <w:br/>
        <w:t>notebooks/           读取已有实验结果的课堂展示 Notebook</w:t>
        <w:br/>
        <w:t>tests/               数据、阈值、OOV 与端到端回归测试</w:t>
      </w:r>
    </w:p>
    <w:p>
      <w:r>
        <w:br w:type="page"/>
      </w:r>
    </w:p>
    <w:p>
      <w:pPr>
        <w:pStyle w:val="Heading2"/>
      </w:pPr>
      <w:r>
        <w:t>3.2 系统总体架构</w:t>
      </w:r>
    </w:p>
    <w:p>
      <w:pPr>
        <w:ind w:firstLine="0"/>
        <w:jc w:val="center"/>
      </w:pPr>
      <w:r>
        <w:drawing>
          <wp:inline xmlns:a="http://schemas.openxmlformats.org/drawingml/2006/main" xmlns:pic="http://schemas.openxmlformats.org/drawingml/2006/picture">
            <wp:extent cx="5806440" cy="3483864"/>
            <wp:docPr id="3" name="Picture 3"/>
            <wp:cNvGraphicFramePr>
              <a:graphicFrameLocks noChangeAspect="1"/>
            </wp:cNvGraphicFramePr>
            <a:graphic>
              <a:graphicData uri="http://schemas.openxmlformats.org/drawingml/2006/picture">
                <pic:pic>
                  <pic:nvPicPr>
                    <pic:cNvPr id="0" name="system_architecture.png"/>
                    <pic:cNvPicPr/>
                  </pic:nvPicPr>
                  <pic:blipFill>
                    <a:blip r:embed="rId17"/>
                    <a:stretch>
                      <a:fillRect/>
                    </a:stretch>
                  </pic:blipFill>
                  <pic:spPr>
                    <a:xfrm>
                      <a:off x="0" y="0"/>
                      <a:ext cx="5806440" cy="3483864"/>
                    </a:xfrm>
                    <a:prstGeom prst="rect"/>
                  </pic:spPr>
                </pic:pic>
              </a:graphicData>
            </a:graphic>
          </wp:inline>
        </w:drawing>
      </w:r>
    </w:p>
    <w:p>
      <w:pPr>
        <w:pStyle w:val="Caption"/>
      </w:pPr>
      <w:r>
        <w:rPr>
          <w:rFonts w:ascii="Times New Roman" w:hAnsi="Times New Roman" w:eastAsia="宋体"/>
          <w:b w:val="0"/>
          <w:color w:val="1F1F1F"/>
          <w:sz w:val="19"/>
        </w:rPr>
        <w:t>图 3-1 抑郁倾向识别平台总体架构</w:t>
      </w:r>
    </w:p>
    <w:p>
      <w:r>
        <w:rPr>
          <w:rFonts w:ascii="Times New Roman" w:hAnsi="Times New Roman" w:eastAsia="宋体"/>
          <w:b w:val="0"/>
          <w:color w:val="1F1F1F"/>
          <w:sz w:val="21"/>
        </w:rPr>
        <w:t>系统按照数据层、特征层、模型层、应用层和交互层进行组织。数据层负责将不同 CSV 统一为 text_raw、label_raw、source_id 等字段；特征层将清洗文本转化为稀疏向量；模型层使用统一 Pipeline 保证训练与推理处理一致；应用层负责输入校验、分数校准和风险分档；交互层提供 GUI、批量脚本和 Notebook。</w:t>
      </w:r>
    </w:p>
    <w:p>
      <w:pPr>
        <w:pStyle w:val="Heading3"/>
      </w:pPr>
      <w:r>
        <w:t>3.2.1 核心数据流</w:t>
      </w:r>
    </w:p>
    <w:p>
      <w:pPr>
        <w:ind w:firstLine="0"/>
        <w:jc w:val="center"/>
      </w:pPr>
      <w:r>
        <w:drawing>
          <wp:inline xmlns:a="http://schemas.openxmlformats.org/drawingml/2006/main" xmlns:pic="http://schemas.openxmlformats.org/drawingml/2006/picture">
            <wp:extent cx="5806440" cy="2787091"/>
            <wp:docPr id="4" name="Picture 4"/>
            <wp:cNvGraphicFramePr>
              <a:graphicFrameLocks noChangeAspect="1"/>
            </wp:cNvGraphicFramePr>
            <a:graphic>
              <a:graphicData uri="http://schemas.openxmlformats.org/drawingml/2006/picture">
                <pic:pic>
                  <pic:nvPicPr>
                    <pic:cNvPr id="0" name="data_flow.png"/>
                    <pic:cNvPicPr/>
                  </pic:nvPicPr>
                  <pic:blipFill>
                    <a:blip r:embed="rId18"/>
                    <a:stretch>
                      <a:fillRect/>
                    </a:stretch>
                  </pic:blipFill>
                  <pic:spPr>
                    <a:xfrm>
                      <a:off x="0" y="0"/>
                      <a:ext cx="5806440" cy="2787091"/>
                    </a:xfrm>
                    <a:prstGeom prst="rect"/>
                  </pic:spPr>
                </pic:pic>
              </a:graphicData>
            </a:graphic>
          </wp:inline>
        </w:drawing>
      </w:r>
    </w:p>
    <w:p>
      <w:pPr>
        <w:pStyle w:val="Caption"/>
      </w:pPr>
      <w:r>
        <w:rPr>
          <w:rFonts w:ascii="Times New Roman" w:hAnsi="Times New Roman" w:eastAsia="宋体"/>
          <w:b w:val="0"/>
          <w:color w:val="1F1F1F"/>
          <w:sz w:val="19"/>
        </w:rPr>
        <w:t>图 3-2 数据处理与模型训练流程</w:t>
      </w:r>
    </w:p>
    <w:p>
      <w:r>
        <w:rPr>
          <w:rFonts w:ascii="Times New Roman" w:hAnsi="Times New Roman" w:eastAsia="宋体"/>
          <w:b w:val="0"/>
          <w:color w:val="1F1F1F"/>
          <w:sz w:val="21"/>
        </w:rPr>
        <w:t>图 3-2 展示了从数据发现到产物输出的完整链路。每个阶段都保存必要的中间统计，但不会把测试集信息用于模型训练或阈值选择。模型训练完成后，Pipeline、校准器和风险阈值被分别保存，GUI 与批量脚本统一调用同一套产物。</w:t>
      </w:r>
    </w:p>
    <w:p>
      <w:pPr>
        <w:pStyle w:val="Heading2"/>
      </w:pPr>
      <w:r>
        <w:t>3.3 数据采集与质量控制</w:t>
      </w:r>
    </w:p>
    <w:p>
      <w:pPr>
        <w:pStyle w:val="Heading3"/>
      </w:pPr>
      <w:r>
        <w:t>3.3.1 数据来源</w:t>
      </w:r>
    </w:p>
    <w:p>
      <w:r>
        <w:rPr>
          <w:rFonts w:ascii="Times New Roman" w:hAnsi="Times New Roman" w:eastAsia="宋体"/>
          <w:b w:val="0"/>
          <w:color w:val="1F1F1F"/>
          <w:sz w:val="21"/>
        </w:rPr>
        <w:t>任冉负责收集和整理大部分相关数据集，项目当前实际载入两个英文文本来源：Reddit 清洗数据和 depression-classification-text-dataset 短文本数据。清单中还预留 sentiment 与 Urdu 数据源，但由于对应 CSV 未放入项目，它们在统计中被明确标记为 skipped。</w:t>
      </w:r>
    </w:p>
    <w:p>
      <w:pPr>
        <w:pStyle w:val="Caption"/>
      </w:pPr>
      <w:r>
        <w:rPr>
          <w:rFonts w:ascii="Times New Roman" w:hAnsi="Times New Roman" w:eastAsia="宋体"/>
          <w:b w:val="0"/>
          <w:color w:val="1F1F1F"/>
          <w:sz w:val="19"/>
        </w:rPr>
        <w:t>表 3-2 实际使用的数据来源</w:t>
      </w:r>
    </w:p>
    <w:tbl>
      <w:tblPr>
        <w:tblW w:type="auto" w:w="0"/>
        <w:jc w:val="center"/>
        <w:tblLayout w:type="fixed"/>
        <w:tblLook w:firstColumn="1" w:firstRow="1" w:lastColumn="0" w:lastRow="0" w:noHBand="0" w:noVBand="1" w:val="04A0"/>
        <w:tblBorders>
          <w:top w:val="single" w:sz="6" w:color="7F8C95"/>
          <w:left w:val="single" w:sz="6" w:color="7F8C95"/>
          <w:bottom w:val="single" w:sz="6" w:color="7F8C95"/>
          <w:right w:val="single" w:sz="6" w:color="7F8C95"/>
          <w:insideH w:val="single" w:sz="6" w:color="7F8C95"/>
          <w:insideV w:val="single" w:sz="6" w:color="7F8C95"/>
        </w:tblBorders>
      </w:tblPr>
      <w:tblGrid>
        <w:gridCol w:w="1531"/>
        <w:gridCol w:w="1531"/>
        <w:gridCol w:w="1531"/>
        <w:gridCol w:w="1531"/>
        <w:gridCol w:w="1531"/>
        <w:gridCol w:w="1531"/>
      </w:tblGrid>
      <w:tr>
        <w:trPr>
          <w:tblHeader w:val="true"/>
        </w:trPr>
        <w:tc>
          <w:tcPr>
            <w:tcW w:type="dxa" w:w="2088"/>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6"/>
              </w:rPr>
              <w:t>来源标识</w:t>
            </w:r>
          </w:p>
        </w:tc>
        <w:tc>
          <w:tcPr>
            <w:tcW w:type="dxa" w:w="1080"/>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6"/>
              </w:rPr>
              <w:t>样本数</w:t>
            </w:r>
          </w:p>
        </w:tc>
        <w:tc>
          <w:tcPr>
            <w:tcW w:type="dxa" w:w="1007"/>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6"/>
              </w:rPr>
              <w:t>正类</w:t>
            </w:r>
          </w:p>
        </w:tc>
        <w:tc>
          <w:tcPr>
            <w:tcW w:type="dxa" w:w="1007"/>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6"/>
              </w:rPr>
              <w:t>负类</w:t>
            </w:r>
          </w:p>
        </w:tc>
        <w:tc>
          <w:tcPr>
            <w:tcW w:type="dxa" w:w="1440"/>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6"/>
              </w:rPr>
              <w:t>平均字符数</w:t>
            </w:r>
          </w:p>
        </w:tc>
        <w:tc>
          <w:tcPr>
            <w:tcW w:type="dxa" w:w="2880"/>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6"/>
              </w:rPr>
              <w:t>说明</w:t>
            </w:r>
          </w:p>
        </w:tc>
      </w:tr>
      <w:tr>
        <w:trPr>
          <w:cantSplit/>
        </w:trPr>
        <w:tc>
          <w:tcPr>
            <w:tcW w:type="dxa" w:w="2088"/>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reddit</w:t>
            </w:r>
          </w:p>
        </w:tc>
        <w:tc>
          <w:tcPr>
            <w:tcW w:type="dxa" w:w="108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7413</w:t>
            </w:r>
          </w:p>
        </w:tc>
        <w:tc>
          <w:tcPr>
            <w:tcW w:type="dxa" w:w="1007"/>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3727</w:t>
            </w:r>
          </w:p>
        </w:tc>
        <w:tc>
          <w:tcPr>
            <w:tcW w:type="dxa" w:w="1007"/>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3686</w:t>
            </w:r>
          </w:p>
        </w:tc>
        <w:tc>
          <w:tcPr>
            <w:tcW w:type="dxa" w:w="144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368.97</w:t>
            </w:r>
          </w:p>
        </w:tc>
        <w:tc>
          <w:tcPr>
            <w:tcW w:type="dxa" w:w="288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主要训练来源，文本相对较长</w:t>
            </w:r>
          </w:p>
        </w:tc>
      </w:tr>
      <w:tr>
        <w:trPr>
          <w:cantSplit/>
        </w:trPr>
        <w:tc>
          <w:tcPr>
            <w:tcW w:type="dxa" w:w="2088"/>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depression_text_clf</w:t>
            </w:r>
          </w:p>
        </w:tc>
        <w:tc>
          <w:tcPr>
            <w:tcW w:type="dxa" w:w="108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234</w:t>
            </w:r>
          </w:p>
        </w:tc>
        <w:tc>
          <w:tcPr>
            <w:tcW w:type="dxa" w:w="1007"/>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113</w:t>
            </w:r>
          </w:p>
        </w:tc>
        <w:tc>
          <w:tcPr>
            <w:tcW w:type="dxa" w:w="1007"/>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121</w:t>
            </w:r>
          </w:p>
        </w:tc>
        <w:tc>
          <w:tcPr>
            <w:tcW w:type="dxa" w:w="144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48.61</w:t>
            </w:r>
          </w:p>
        </w:tc>
        <w:tc>
          <w:tcPr>
            <w:tcW w:type="dxa" w:w="288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短文本来源，同时用于跨域测试</w:t>
            </w:r>
          </w:p>
        </w:tc>
      </w:tr>
      <w:tr>
        <w:trPr>
          <w:cantSplit/>
        </w:trPr>
        <w:tc>
          <w:tcPr>
            <w:tcW w:type="dxa" w:w="2088"/>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合计</w:t>
            </w:r>
          </w:p>
        </w:tc>
        <w:tc>
          <w:tcPr>
            <w:tcW w:type="dxa" w:w="108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7647</w:t>
            </w:r>
          </w:p>
        </w:tc>
        <w:tc>
          <w:tcPr>
            <w:tcW w:type="dxa" w:w="1007"/>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3840</w:t>
            </w:r>
          </w:p>
        </w:tc>
        <w:tc>
          <w:tcPr>
            <w:tcW w:type="dxa" w:w="1007"/>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3807</w:t>
            </w:r>
          </w:p>
        </w:tc>
        <w:tc>
          <w:tcPr>
            <w:tcW w:type="dxa" w:w="144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359.17</w:t>
            </w:r>
          </w:p>
        </w:tc>
        <w:tc>
          <w:tcPr>
            <w:tcW w:type="dxa" w:w="288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精确指纹重复为 0</w:t>
            </w:r>
          </w:p>
        </w:tc>
      </w:tr>
    </w:tbl>
    <w:p>
      <w:pPr>
        <w:spacing w:after="0"/>
      </w:pPr>
    </w:p>
    <w:p>
      <w:pPr>
        <w:pStyle w:val="Heading3"/>
      </w:pPr>
      <w:r>
        <w:t>3.3.2 文本清洗</w:t>
      </w:r>
    </w:p>
    <w:p>
      <w:r>
        <w:rPr>
          <w:rFonts w:ascii="Times New Roman" w:hAnsi="Times New Roman" w:eastAsia="宋体"/>
          <w:b w:val="0"/>
          <w:color w:val="1F1F1F"/>
          <w:sz w:val="21"/>
        </w:rPr>
        <w:t>预处理函数首先将输入转为小写，删除 URL，再用正则表达式移除非英文字母字符并压缩多余空白。数据构建阶段还按最小字符数过滤过短文本，并通过拉丁字母占比启发式去除明显非英文样本。</w:t>
      </w:r>
    </w:p>
    <w:p>
      <w:pPr>
        <w:spacing w:before="80" w:after="120" w:line="252" w:lineRule="auto"/>
        <w:ind w:firstLine="0" w:left="227" w:right="227"/>
        <w:shd w:fill="F1F3F5"/>
      </w:pPr>
      <w:r>
        <w:rPr>
          <w:rFonts w:ascii="Courier New" w:hAnsi="Courier New" w:eastAsia="等线"/>
          <w:b w:val="0"/>
          <w:color w:val="263238"/>
          <w:sz w:val="17"/>
        </w:rPr>
        <w:t>def preprocess_text_en(text):</w:t>
        <w:br/>
        <w:t xml:space="preserve">    s = str(text).lower()</w:t>
        <w:br/>
        <w:t xml:space="preserve">    s = URL_RE.sub(" ", s)</w:t>
        <w:br/>
        <w:t xml:space="preserve">    s = NON_ALPHA_RE.sub(" ", s)</w:t>
        <w:br/>
        <w:t xml:space="preserve">    return re.sub(r"\\s+", " ", s).strip()</w:t>
      </w:r>
    </w:p>
    <w:p>
      <w:pPr>
        <w:pStyle w:val="Heading3"/>
      </w:pPr>
      <w:r>
        <w:t>3.3.3 指纹去重与近重复统计</w:t>
      </w:r>
    </w:p>
    <w:p>
      <w:r>
        <w:rPr>
          <w:rFonts w:ascii="Times New Roman" w:hAnsi="Times New Roman" w:eastAsia="宋体"/>
          <w:b w:val="0"/>
          <w:color w:val="1F1F1F"/>
          <w:sz w:val="21"/>
        </w:rPr>
        <w:t>清洗文本经空白规范化后计算 SHA-256 指纹。相同指纹只保留一条，数据库对 text_clean 和 text_fingerprint 均设置唯一约束。项目还使用三词组 Jaccard 相似度进行轻量近重复估计，共发现约 29 条近重复文本。该统计用于提示数据质量风险，不直接自动删除，以免误删语义相近但独立的表达。</w:t>
      </w:r>
    </w:p>
    <w:p>
      <w:r>
        <w:br w:type="page"/>
      </w:r>
    </w:p>
    <w:p>
      <w:pPr>
        <w:pStyle w:val="Heading3"/>
      </w:pPr>
      <w:r>
        <w:t>3.3.4 数据切分策略</w:t>
      </w:r>
    </w:p>
    <w:p>
      <w:r>
        <w:rPr>
          <w:rFonts w:ascii="Times New Roman" w:hAnsi="Times New Roman" w:eastAsia="宋体"/>
          <w:b w:val="0"/>
          <w:color w:val="1F1F1F"/>
          <w:sz w:val="21"/>
        </w:rPr>
        <w:t>数据集按 64%/16%/20% 划分为训练集、验证集和测试集。为减少来源比例波动，优先使用 source_id 与 label 拼接后的联合层进行分层；当某一层样本过少时，安全退回仅按标签分层。</w:t>
      </w:r>
    </w:p>
    <w:p>
      <w:pPr>
        <w:pStyle w:val="Caption"/>
      </w:pPr>
      <w:r>
        <w:rPr>
          <w:rFonts w:ascii="Times New Roman" w:hAnsi="Times New Roman" w:eastAsia="宋体"/>
          <w:b w:val="0"/>
          <w:color w:val="1F1F1F"/>
          <w:sz w:val="19"/>
        </w:rPr>
        <w:t>表 3-3 数据切分及来源分布</w:t>
      </w:r>
    </w:p>
    <w:tbl>
      <w:tblPr>
        <w:tblW w:type="auto" w:w="0"/>
        <w:jc w:val="center"/>
        <w:tblLayout w:type="fixed"/>
        <w:tblLook w:firstColumn="1" w:firstRow="1" w:lastColumn="0" w:lastRow="0" w:noHBand="0" w:noVBand="1" w:val="04A0"/>
        <w:tblBorders>
          <w:top w:val="single" w:sz="6" w:color="7F8C95"/>
          <w:left w:val="single" w:sz="6" w:color="7F8C95"/>
          <w:bottom w:val="single" w:sz="6" w:color="7F8C95"/>
          <w:right w:val="single" w:sz="6" w:color="7F8C95"/>
          <w:insideH w:val="single" w:sz="6" w:color="7F8C95"/>
          <w:insideV w:val="single" w:sz="6" w:color="7F8C95"/>
        </w:tblBorders>
      </w:tblPr>
      <w:tblGrid>
        <w:gridCol w:w="1837"/>
        <w:gridCol w:w="1837"/>
        <w:gridCol w:w="1837"/>
        <w:gridCol w:w="1837"/>
        <w:gridCol w:w="1837"/>
      </w:tblGrid>
      <w:tr>
        <w:trPr>
          <w:tblHeader w:val="true"/>
        </w:trPr>
        <w:tc>
          <w:tcPr>
            <w:tcW w:type="dxa" w:w="2880"/>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8"/>
              </w:rPr>
              <w:t>来源</w:t>
            </w:r>
          </w:p>
        </w:tc>
        <w:tc>
          <w:tcPr>
            <w:tcW w:type="dxa" w:w="1440"/>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8"/>
              </w:rPr>
              <w:t>训练集</w:t>
            </w:r>
          </w:p>
        </w:tc>
        <w:tc>
          <w:tcPr>
            <w:tcW w:type="dxa" w:w="1440"/>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8"/>
              </w:rPr>
              <w:t>验证集</w:t>
            </w:r>
          </w:p>
        </w:tc>
        <w:tc>
          <w:tcPr>
            <w:tcW w:type="dxa" w:w="1440"/>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8"/>
              </w:rPr>
              <w:t>测试集</w:t>
            </w:r>
          </w:p>
        </w:tc>
        <w:tc>
          <w:tcPr>
            <w:tcW w:type="dxa" w:w="1440"/>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8"/>
              </w:rPr>
              <w:t>合计</w:t>
            </w:r>
          </w:p>
        </w:tc>
      </w:tr>
      <w:tr>
        <w:trPr>
          <w:cantSplit/>
        </w:trPr>
        <w:tc>
          <w:tcPr>
            <w:tcW w:type="dxa" w:w="288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reddit</w:t>
            </w:r>
          </w:p>
        </w:tc>
        <w:tc>
          <w:tcPr>
            <w:tcW w:type="dxa" w:w="144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4743</w:t>
            </w:r>
          </w:p>
        </w:tc>
        <w:tc>
          <w:tcPr>
            <w:tcW w:type="dxa" w:w="144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1187</w:t>
            </w:r>
          </w:p>
        </w:tc>
        <w:tc>
          <w:tcPr>
            <w:tcW w:type="dxa" w:w="144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1483</w:t>
            </w:r>
          </w:p>
        </w:tc>
        <w:tc>
          <w:tcPr>
            <w:tcW w:type="dxa" w:w="144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7413</w:t>
            </w:r>
          </w:p>
        </w:tc>
      </w:tr>
      <w:tr>
        <w:trPr>
          <w:cantSplit/>
        </w:trPr>
        <w:tc>
          <w:tcPr>
            <w:tcW w:type="dxa" w:w="288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depression_text_clf</w:t>
            </w:r>
          </w:p>
        </w:tc>
        <w:tc>
          <w:tcPr>
            <w:tcW w:type="dxa" w:w="144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150</w:t>
            </w:r>
          </w:p>
        </w:tc>
        <w:tc>
          <w:tcPr>
            <w:tcW w:type="dxa" w:w="144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37</w:t>
            </w:r>
          </w:p>
        </w:tc>
        <w:tc>
          <w:tcPr>
            <w:tcW w:type="dxa" w:w="144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47</w:t>
            </w:r>
          </w:p>
        </w:tc>
        <w:tc>
          <w:tcPr>
            <w:tcW w:type="dxa" w:w="144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234</w:t>
            </w:r>
          </w:p>
        </w:tc>
      </w:tr>
      <w:tr>
        <w:trPr>
          <w:cantSplit/>
        </w:trPr>
        <w:tc>
          <w:tcPr>
            <w:tcW w:type="dxa" w:w="288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合计</w:t>
            </w:r>
          </w:p>
        </w:tc>
        <w:tc>
          <w:tcPr>
            <w:tcW w:type="dxa" w:w="144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4893</w:t>
            </w:r>
          </w:p>
        </w:tc>
        <w:tc>
          <w:tcPr>
            <w:tcW w:type="dxa" w:w="144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1224</w:t>
            </w:r>
          </w:p>
        </w:tc>
        <w:tc>
          <w:tcPr>
            <w:tcW w:type="dxa" w:w="144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1530</w:t>
            </w:r>
          </w:p>
        </w:tc>
        <w:tc>
          <w:tcPr>
            <w:tcW w:type="dxa" w:w="144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7647</w:t>
            </w:r>
          </w:p>
        </w:tc>
      </w:tr>
    </w:tbl>
    <w:p>
      <w:pPr>
        <w:spacing w:after="0"/>
      </w:pPr>
    </w:p>
    <w:p>
      <w:pPr>
        <w:spacing w:before="80" w:after="120"/>
        <w:ind w:firstLine="0" w:left="227" w:right="227"/>
        <w:shd w:fill="EAF2F7"/>
      </w:pPr>
      <w:r>
        <w:rPr>
          <w:rFonts w:ascii="Times New Roman" w:hAnsi="Times New Roman" w:eastAsia="宋体"/>
          <w:b/>
          <w:color w:val="244A64"/>
          <w:sz w:val="20"/>
        </w:rPr>
        <w:t>完整性检查结果：训练、验证、测试三组 SHA-256 文本指纹两两交集均为 0。</w:t>
      </w:r>
    </w:p>
    <w:p>
      <w:r>
        <w:rPr>
          <w:rFonts w:ascii="Times New Roman" w:hAnsi="Times New Roman" w:eastAsia="宋体"/>
          <w:b w:val="0"/>
          <w:color w:val="1F1F1F"/>
          <w:sz w:val="21"/>
        </w:rPr>
        <w:t>验证集在训练阶段进一步按标签分为大小相近的校准子集和选择子集。Platt 校准器只在校准子集上拟合，F2 阈值和模型比较只使用选择子集，从而避免在同一批验证样本上同时完成校准和阈值优化。</w:t>
      </w:r>
    </w:p>
    <w:p>
      <w:pPr>
        <w:pStyle w:val="Heading2"/>
      </w:pPr>
      <w:r>
        <w:t>3.4 特征工程</w:t>
      </w:r>
    </w:p>
    <w:p>
      <w:pPr>
        <w:pStyle w:val="Heading3"/>
      </w:pPr>
      <w:r>
        <w:t>3.4.1 TF-IDF 文本特征</w:t>
      </w:r>
    </w:p>
    <w:p>
      <w:r>
        <w:rPr>
          <w:rFonts w:ascii="Times New Roman" w:hAnsi="Times New Roman" w:eastAsia="宋体"/>
          <w:b w:val="0"/>
          <w:color w:val="1F1F1F"/>
          <w:sz w:val="21"/>
        </w:rPr>
        <w:t>TF-IDF 用于衡量词项在当前文本中的出现频率以及其在整个语料中的稀有程度。项目使用 1-gram 与 2-gram，最大特征数为 6000，min_df=3，max_df=0.9，并启用 sublinear_tf。</w:t>
      </w:r>
    </w:p>
    <w:p>
      <w:r>
        <w:rPr>
          <w:rFonts w:ascii="Times New Roman" w:hAnsi="Times New Roman" w:eastAsia="宋体"/>
          <w:b w:val="0"/>
          <w:color w:val="1F1F1F"/>
          <w:sz w:val="21"/>
        </w:rPr>
        <w:t>词项 t 在文档 d 中的权重可表示为：</w:t>
      </w:r>
    </w:p>
    <w:p>
      <w:pPr>
        <w:ind w:firstLine="0"/>
        <w:jc w:val="center"/>
      </w:pPr>
      <w:r>
        <w:rPr>
          <w:rFonts w:ascii="Cambria Math" w:hAnsi="Cambria Math" w:eastAsia="Cambria Math"/>
          <w:b w:val="0"/>
          <w:color w:val="1F1F1F"/>
          <w:sz w:val="23"/>
        </w:rPr>
        <w:t>TF-IDF(t,d) = (1 + log TF(t,d)) × log(N / DF(t))</w:t>
      </w:r>
    </w:p>
    <w:p>
      <w:pPr>
        <w:pStyle w:val="Heading3"/>
      </w:pPr>
      <w:r>
        <w:t>3.4.2 统计、情感与词典特征</w:t>
      </w:r>
    </w:p>
    <w:p>
      <w:pPr>
        <w:pStyle w:val="Caption"/>
      </w:pPr>
      <w:r>
        <w:rPr>
          <w:rFonts w:ascii="Times New Roman" w:hAnsi="Times New Roman" w:eastAsia="宋体"/>
          <w:b w:val="0"/>
          <w:color w:val="1F1F1F"/>
          <w:sz w:val="19"/>
        </w:rPr>
        <w:t>表 3-4 附加特征及含义</w:t>
      </w:r>
    </w:p>
    <w:tbl>
      <w:tblPr>
        <w:tblW w:type="auto" w:w="0"/>
        <w:jc w:val="center"/>
        <w:tblLayout w:type="fixed"/>
        <w:tblLook w:firstColumn="1" w:firstRow="1" w:lastColumn="0" w:lastRow="0" w:noHBand="0" w:noVBand="1" w:val="04A0"/>
        <w:tblBorders>
          <w:top w:val="single" w:sz="6" w:color="7F8C95"/>
          <w:left w:val="single" w:sz="6" w:color="7F8C95"/>
          <w:bottom w:val="single" w:sz="6" w:color="7F8C95"/>
          <w:right w:val="single" w:sz="6" w:color="7F8C95"/>
          <w:insideH w:val="single" w:sz="6" w:color="7F8C95"/>
          <w:insideV w:val="single" w:sz="6" w:color="7F8C95"/>
        </w:tblBorders>
      </w:tblPr>
      <w:tblGrid>
        <w:gridCol w:w="3062"/>
        <w:gridCol w:w="3062"/>
        <w:gridCol w:w="3062"/>
      </w:tblGrid>
      <w:tr>
        <w:trPr>
          <w:tblHeader w:val="true"/>
        </w:trPr>
        <w:tc>
          <w:tcPr>
            <w:tcW w:type="dxa" w:w="1872"/>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7"/>
              </w:rPr>
              <w:t>特征组</w:t>
            </w:r>
          </w:p>
        </w:tc>
        <w:tc>
          <w:tcPr>
            <w:tcW w:type="dxa" w:w="3456"/>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7"/>
              </w:rPr>
              <w:t>具体特征</w:t>
            </w:r>
          </w:p>
        </w:tc>
        <w:tc>
          <w:tcPr>
            <w:tcW w:type="dxa" w:w="4104"/>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7"/>
              </w:rPr>
              <w:t>作用</w:t>
            </w:r>
          </w:p>
        </w:tc>
      </w:tr>
      <w:tr>
        <w:trPr>
          <w:cantSplit/>
        </w:trPr>
        <w:tc>
          <w:tcPr>
            <w:tcW w:type="dxa" w:w="1872"/>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文本统计</w:t>
            </w:r>
          </w:p>
        </w:tc>
        <w:tc>
          <w:tcPr>
            <w:tcW w:type="dxa" w:w="3456"/>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字符数、词数、平均词长</w:t>
            </w:r>
          </w:p>
        </w:tc>
        <w:tc>
          <w:tcPr>
            <w:tcW w:type="dxa" w:w="4104"/>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描述文本规模和表达密度</w:t>
            </w:r>
          </w:p>
        </w:tc>
      </w:tr>
      <w:tr>
        <w:trPr>
          <w:cantSplit/>
        </w:trPr>
        <w:tc>
          <w:tcPr>
            <w:tcW w:type="dxa" w:w="1872"/>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VADER</w:t>
            </w:r>
          </w:p>
        </w:tc>
        <w:tc>
          <w:tcPr>
            <w:tcW w:type="dxa" w:w="3456"/>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7"/>
              </w:rPr>
              <w:t>sentiment_compound</w:t>
            </w:r>
          </w:p>
        </w:tc>
        <w:tc>
          <w:tcPr>
            <w:tcW w:type="dxa" w:w="4104"/>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刻画社交媒体文本的整体情感极性</w:t>
            </w:r>
          </w:p>
        </w:tc>
      </w:tr>
      <w:tr>
        <w:trPr>
          <w:cantSplit/>
        </w:trPr>
        <w:tc>
          <w:tcPr>
            <w:tcW w:type="dxa" w:w="1872"/>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心理健康词典</w:t>
            </w:r>
          </w:p>
        </w:tc>
        <w:tc>
          <w:tcPr>
            <w:tcW w:type="dxa" w:w="3456"/>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7"/>
              </w:rPr>
              <w:t>mh_hits、positive/negative diagnosis</w:t>
            </w:r>
          </w:p>
        </w:tc>
        <w:tc>
          <w:tcPr>
            <w:tcW w:type="dxa" w:w="4104"/>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统计心理健康和诊断表达线索</w:t>
            </w:r>
          </w:p>
        </w:tc>
      </w:tr>
      <w:tr>
        <w:trPr>
          <w:cantSplit/>
        </w:trPr>
        <w:tc>
          <w:tcPr>
            <w:tcW w:type="dxa" w:w="1872"/>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社区词典</w:t>
            </w:r>
          </w:p>
        </w:tc>
        <w:tc>
          <w:tcPr>
            <w:tcW w:type="dxa" w:w="3456"/>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7"/>
              </w:rPr>
              <w:t>subreddit word/r-style hits</w:t>
            </w:r>
          </w:p>
        </w:tc>
        <w:tc>
          <w:tcPr>
            <w:tcW w:type="dxa" w:w="4104"/>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统计与心理健康社区相关的名称线索</w:t>
            </w:r>
          </w:p>
        </w:tc>
      </w:tr>
    </w:tbl>
    <w:p>
      <w:pPr>
        <w:spacing w:after="0"/>
      </w:pPr>
    </w:p>
    <w:p>
      <w:r>
        <w:rPr>
          <w:rFonts w:ascii="Times New Roman" w:hAnsi="Times New Roman" w:eastAsia="宋体"/>
          <w:b w:val="0"/>
          <w:color w:val="1F1F1F"/>
          <w:sz w:val="21"/>
        </w:rPr>
        <w:t>所有稀疏文本特征和数值特征通过 FeatureUnion 合并，再使用 StandardScaler(with_mean=False) 缩放。词典命中仅作为弱特征和界面文本证据，不能视为模型决策的因果解释。</w:t>
      </w:r>
    </w:p>
    <w:p>
      <w:pPr>
        <w:pStyle w:val="Heading2"/>
      </w:pPr>
      <w:r>
        <w:t>3.5 模型设计</w:t>
      </w:r>
    </w:p>
    <w:p>
      <w:pPr>
        <w:pStyle w:val="Heading3"/>
      </w:pPr>
      <w:r>
        <w:t>3.5.1 逻辑回归</w:t>
      </w:r>
    </w:p>
    <w:p>
      <w:r>
        <w:rPr>
          <w:rFonts w:ascii="Times New Roman" w:hAnsi="Times New Roman" w:eastAsia="宋体"/>
          <w:b w:val="0"/>
          <w:color w:val="1F1F1F"/>
          <w:sz w:val="21"/>
        </w:rPr>
        <w:t>逻辑回归将特征向量的线性组合映射到 0 至 1 的分数，训练速度快、输出稳定，适合高维稀疏文本。项目设置 class_weight='balanced' 并使用 saga 求解器。其基本形式为：</w:t>
      </w:r>
    </w:p>
    <w:p>
      <w:pPr>
        <w:ind w:firstLine="0"/>
        <w:jc w:val="center"/>
      </w:pPr>
      <w:r>
        <w:rPr>
          <w:rFonts w:ascii="Cambria Math" w:hAnsi="Cambria Math" w:eastAsia="Cambria Math"/>
          <w:b w:val="0"/>
          <w:color w:val="1F1F1F"/>
          <w:sz w:val="23"/>
        </w:rPr>
        <w:t>p(y=1|x) = 1 / (1 + exp(-(wᵀx+b)))</w:t>
      </w:r>
    </w:p>
    <w:p>
      <w:pPr>
        <w:pStyle w:val="Heading3"/>
      </w:pPr>
      <w:r>
        <w:t>3.5.2 LinearSVC</w:t>
      </w:r>
    </w:p>
    <w:p>
      <w:r>
        <w:rPr>
          <w:rFonts w:ascii="Times New Roman" w:hAnsi="Times New Roman" w:eastAsia="宋体"/>
          <w:b w:val="0"/>
          <w:color w:val="1F1F1F"/>
          <w:sz w:val="21"/>
        </w:rPr>
        <w:t>线性支持向量机通过最大化类别间隔寻找判别超平面，通常在文本分类中表现良好。由于 LinearSVC 不直接提供概率，项目使用 CalibratedClassifierCV 与 sigmoid 方法生成可比较的分数。</w:t>
      </w:r>
    </w:p>
    <w:p>
      <w:pPr>
        <w:pStyle w:val="Heading3"/>
      </w:pPr>
      <w:r>
        <w:t>3.5.3 随机森林与 XGBoost</w:t>
      </w:r>
    </w:p>
    <w:p>
      <w:r>
        <w:rPr>
          <w:rFonts w:ascii="Times New Roman" w:hAnsi="Times New Roman" w:eastAsia="宋体"/>
          <w:b w:val="0"/>
          <w:color w:val="1F1F1F"/>
          <w:sz w:val="21"/>
        </w:rPr>
        <w:t>随机森林通过多个决策树投票降低单树方差；XGBoost 通过迭代拟合残差构建梯度提升树。两者可学习非线性关系，但面对高维稀疏文本时计算开销较大，也更容易依赖数据源特有的词汇分布。</w:t>
      </w:r>
    </w:p>
    <w:p>
      <w:pPr>
        <w:pStyle w:val="Heading3"/>
      </w:pPr>
      <w:r>
        <w:t>3.5.4 过采样与统一 Pipeline</w:t>
      </w:r>
    </w:p>
    <w:p>
      <w:r>
        <w:rPr>
          <w:rFonts w:ascii="Times New Roman" w:hAnsi="Times New Roman" w:eastAsia="宋体"/>
          <w:b w:val="0"/>
          <w:color w:val="1F1F1F"/>
          <w:sz w:val="21"/>
        </w:rPr>
        <w:t>候选模型均封装在 imbalanced-learn Pipeline 中，步骤依次为特征联合、稀疏缩放、可选 RandomOverSampler 和分类器。这样可保证过采样只发生在训练数据上，并确保保存后的 Pipeline 在单条与批量推理中执行完全相同的处理。</w:t>
      </w:r>
    </w:p>
    <w:p>
      <w:pPr>
        <w:spacing w:before="80" w:after="120" w:line="252" w:lineRule="auto"/>
        <w:ind w:firstLine="0" w:left="227" w:right="227"/>
        <w:shd w:fill="F1F3F5"/>
      </w:pPr>
      <w:r>
        <w:rPr>
          <w:rFonts w:ascii="Courier New" w:hAnsi="Courier New" w:eastAsia="等线"/>
          <w:b w:val="0"/>
          <w:color w:val="263238"/>
          <w:sz w:val="17"/>
        </w:rPr>
        <w:t>Pipeline([</w:t>
        <w:br/>
        <w:t xml:space="preserve">    ("features", FeatureUnion(["tfidf", "stats"])),</w:t>
        <w:br/>
        <w:t xml:space="preserve">    ("scale", StandardScaler(with_mean=False)),</w:t>
        <w:br/>
        <w:t xml:space="preserve">    ("oversample", RandomOverSampler(random_state=42)),</w:t>
        <w:br/>
        <w:t xml:space="preserve">    ("classifier", estimator),</w:t>
        <w:br/>
        <w:t>])</w:t>
      </w:r>
    </w:p>
    <w:p>
      <w:r>
        <w:br w:type="page"/>
      </w:r>
    </w:p>
    <w:p>
      <w:pPr>
        <w:pStyle w:val="Heading2"/>
      </w:pPr>
      <w:r>
        <w:t>3.6 校准、阈值与评价指标</w:t>
      </w:r>
    </w:p>
    <w:p>
      <w:pPr>
        <w:pStyle w:val="Heading3"/>
      </w:pPr>
      <w:r>
        <w:t>3.6.1 概率校准</w:t>
      </w:r>
    </w:p>
    <w:p>
      <w:r>
        <w:rPr>
          <w:rFonts w:ascii="Times New Roman" w:hAnsi="Times New Roman" w:eastAsia="宋体"/>
          <w:b w:val="0"/>
          <w:color w:val="1F1F1F"/>
          <w:sz w:val="21"/>
        </w:rPr>
        <w:t>候选模型输出的原始分数不一定能反映样本比例。项目在独立校准子集上拟合一维逻辑回归，即 Platt scaling，将原始分数映射为校准后的模型阳性分数。即使经过校准，该分数仍不等同于临床患病概率。</w:t>
      </w:r>
    </w:p>
    <w:p>
      <w:pPr>
        <w:pStyle w:val="Heading3"/>
      </w:pPr>
      <w:r>
        <w:t>3.6.2 F2 阈值</w:t>
      </w:r>
    </w:p>
    <w:p>
      <w:r>
        <w:rPr>
          <w:rFonts w:ascii="Times New Roman" w:hAnsi="Times New Roman" w:eastAsia="宋体"/>
          <w:b w:val="0"/>
          <w:color w:val="1F1F1F"/>
          <w:sz w:val="21"/>
        </w:rPr>
        <w:t>考虑到课程演示更关注减少正类漏检，模型阈值使用 F2 进行搜索。F2 对召回率的权重高于精确率：</w:t>
      </w:r>
    </w:p>
    <w:p>
      <w:pPr>
        <w:ind w:firstLine="0"/>
        <w:jc w:val="center"/>
      </w:pPr>
      <w:r>
        <w:rPr>
          <w:rFonts w:ascii="Cambria Math" w:hAnsi="Cambria Math" w:eastAsia="Cambria Math"/>
          <w:b w:val="0"/>
          <w:color w:val="1F1F1F"/>
          <w:sz w:val="23"/>
        </w:rPr>
        <w:t>F₂ = 5 × Precision × Recall / (4 × Precision + Recall)</w:t>
      </w:r>
    </w:p>
    <w:p>
      <w:pPr>
        <w:pStyle w:val="Heading3"/>
      </w:pPr>
      <w:r>
        <w:t>3.6.3 风险档位</w:t>
      </w:r>
    </w:p>
    <w:p>
      <w:r>
        <w:rPr>
          <w:rFonts w:ascii="Times New Roman" w:hAnsi="Times New Roman" w:eastAsia="宋体"/>
          <w:b w:val="0"/>
          <w:color w:val="1F1F1F"/>
          <w:sz w:val="21"/>
        </w:rPr>
        <w:t>GUI 将分数划分为低、中、高三档。当前低档上界为 0.35，高档下界为 0.70，正式二分类运行阈值为 0.1009。分档阈值由验证集上的负预测值和精确率目标推导，并在出现病态极端值时退回预设值。</w:t>
      </w:r>
    </w:p>
    <w:p>
      <w:pPr>
        <w:pStyle w:val="Caption"/>
      </w:pPr>
      <w:r>
        <w:rPr>
          <w:rFonts w:ascii="Times New Roman" w:hAnsi="Times New Roman" w:eastAsia="宋体"/>
          <w:b w:val="0"/>
          <w:color w:val="1F1F1F"/>
          <w:sz w:val="19"/>
        </w:rPr>
        <w:t>表 3-5 风险档位及展示说明</w:t>
      </w:r>
    </w:p>
    <w:tbl>
      <w:tblPr>
        <w:tblW w:type="auto" w:w="0"/>
        <w:jc w:val="center"/>
        <w:tblLayout w:type="fixed"/>
        <w:tblLook w:firstColumn="1" w:firstRow="1" w:lastColumn="0" w:lastRow="0" w:noHBand="0" w:noVBand="1" w:val="04A0"/>
        <w:tblBorders>
          <w:top w:val="single" w:sz="6" w:color="7F8C95"/>
          <w:left w:val="single" w:sz="6" w:color="7F8C95"/>
          <w:bottom w:val="single" w:sz="6" w:color="7F8C95"/>
          <w:right w:val="single" w:sz="6" w:color="7F8C95"/>
          <w:insideH w:val="single" w:sz="6" w:color="7F8C95"/>
          <w:insideV w:val="single" w:sz="6" w:color="7F8C95"/>
        </w:tblBorders>
      </w:tblPr>
      <w:tblGrid>
        <w:gridCol w:w="3062"/>
        <w:gridCol w:w="3062"/>
        <w:gridCol w:w="3062"/>
      </w:tblGrid>
      <w:tr>
        <w:trPr>
          <w:tblHeader w:val="true"/>
        </w:trPr>
        <w:tc>
          <w:tcPr>
            <w:tcW w:type="dxa" w:w="1728"/>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8"/>
              </w:rPr>
              <w:t>档位</w:t>
            </w:r>
          </w:p>
        </w:tc>
        <w:tc>
          <w:tcPr>
            <w:tcW w:type="dxa" w:w="2015"/>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8"/>
              </w:rPr>
              <w:t>分数范围</w:t>
            </w:r>
          </w:p>
        </w:tc>
        <w:tc>
          <w:tcPr>
            <w:tcW w:type="dxa" w:w="5616"/>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8"/>
              </w:rPr>
              <w:t>界面说明</w:t>
            </w:r>
          </w:p>
        </w:tc>
      </w:tr>
      <w:tr>
        <w:trPr>
          <w:cantSplit/>
        </w:trPr>
        <w:tc>
          <w:tcPr>
            <w:tcW w:type="dxa" w:w="1728"/>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低风险</w:t>
            </w:r>
          </w:p>
        </w:tc>
        <w:tc>
          <w:tcPr>
            <w:tcW w:type="dxa" w:w="2015"/>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&lt; 0.35</w:t>
            </w:r>
          </w:p>
        </w:tc>
        <w:tc>
          <w:tcPr>
            <w:tcW w:type="dxa" w:w="5616"/>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8"/>
              </w:rPr>
              <w:t>未观察到强烈的模型阳性信号，但不能排除真实困扰</w:t>
            </w:r>
          </w:p>
        </w:tc>
      </w:tr>
      <w:tr>
        <w:trPr>
          <w:cantSplit/>
        </w:trPr>
        <w:tc>
          <w:tcPr>
            <w:tcW w:type="dxa" w:w="1728"/>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中风险</w:t>
            </w:r>
          </w:p>
        </w:tc>
        <w:tc>
          <w:tcPr>
            <w:tcW w:type="dxa" w:w="2015"/>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0.35～0.70</w:t>
            </w:r>
          </w:p>
        </w:tc>
        <w:tc>
          <w:tcPr>
            <w:tcW w:type="dxa" w:w="5616"/>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8"/>
              </w:rPr>
              <w:t>文本存在一定相似语言线索，建议结合语境理解</w:t>
            </w:r>
          </w:p>
        </w:tc>
      </w:tr>
      <w:tr>
        <w:trPr>
          <w:cantSplit/>
        </w:trPr>
        <w:tc>
          <w:tcPr>
            <w:tcW w:type="dxa" w:w="1728"/>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高风险</w:t>
            </w:r>
          </w:p>
        </w:tc>
        <w:tc>
          <w:tcPr>
            <w:tcW w:type="dxa" w:w="2015"/>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&gt; 0.70</w:t>
            </w:r>
          </w:p>
        </w:tc>
        <w:tc>
          <w:tcPr>
            <w:tcW w:type="dxa" w:w="5616"/>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8"/>
              </w:rPr>
              <w:t>模型阳性信号较强，仍不得直接作医学判断</w:t>
            </w:r>
          </w:p>
        </w:tc>
      </w:tr>
    </w:tbl>
    <w:p>
      <w:pPr>
        <w:spacing w:after="0"/>
      </w:pPr>
    </w:p>
    <w:p>
      <w:pPr>
        <w:pStyle w:val="Heading3"/>
      </w:pPr>
      <w:r>
        <w:t>3.6.4 评价指标</w:t>
      </w:r>
    </w:p>
    <w:p>
      <w:r>
        <w:rPr>
          <w:rFonts w:ascii="Times New Roman" w:hAnsi="Times New Roman" w:eastAsia="宋体"/>
          <w:b w:val="0"/>
          <w:color w:val="1F1F1F"/>
          <w:sz w:val="21"/>
        </w:rPr>
        <w:t>除 Accuracy、Precision、Recall、F1 外，项目报告偏重召回的 F2、反映负类识别能力的 Specificity、综合不平衡分类表现的 MCC、ROC-AUC、PR-AUC 和衡量概率校准的 Brier score。测试指标通过 400 次 bootstrap 计算 95% 百分位置信区间。</w:t>
      </w:r>
    </w:p>
    <w:p>
      <w:pPr>
        <w:pStyle w:val="Heading2"/>
      </w:pPr>
      <w:r>
        <w:t>3.7 模型比较与选择</w:t>
      </w:r>
    </w:p>
    <w:p>
      <w:pPr>
        <w:pStyle w:val="Caption"/>
      </w:pPr>
      <w:r>
        <w:rPr>
          <w:rFonts w:ascii="Times New Roman" w:hAnsi="Times New Roman" w:eastAsia="宋体"/>
          <w:b w:val="0"/>
          <w:color w:val="1F1F1F"/>
          <w:sz w:val="19"/>
        </w:rPr>
        <w:t>表 3-6 候选模型验证与跨域结果</w:t>
      </w:r>
    </w:p>
    <w:tbl>
      <w:tblPr>
        <w:tblW w:type="auto" w:w="0"/>
        <w:jc w:val="center"/>
        <w:tblLayout w:type="fixed"/>
        <w:tblLook w:firstColumn="1" w:firstRow="1" w:lastColumn="0" w:lastRow="0" w:noHBand="0" w:noVBand="1" w:val="04A0"/>
        <w:tblBorders>
          <w:top w:val="single" w:sz="6" w:color="7F8C95"/>
          <w:left w:val="single" w:sz="6" w:color="7F8C95"/>
          <w:bottom w:val="single" w:sz="6" w:color="7F8C95"/>
          <w:right w:val="single" w:sz="6" w:color="7F8C95"/>
          <w:insideH w:val="single" w:sz="6" w:color="7F8C95"/>
          <w:insideV w:val="single" w:sz="6" w:color="7F8C95"/>
        </w:tblBorders>
      </w:tblPr>
      <w:tblGrid>
        <w:gridCol w:w="1531"/>
        <w:gridCol w:w="1531"/>
        <w:gridCol w:w="1531"/>
        <w:gridCol w:w="1531"/>
        <w:gridCol w:w="1531"/>
        <w:gridCol w:w="1531"/>
      </w:tblGrid>
      <w:tr>
        <w:trPr>
          <w:tblHeader w:val="true"/>
        </w:trPr>
        <w:tc>
          <w:tcPr>
            <w:tcW w:type="dxa" w:w="2448"/>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7"/>
              </w:rPr>
              <w:t>模型</w:t>
            </w:r>
          </w:p>
        </w:tc>
        <w:tc>
          <w:tcPr>
            <w:tcW w:type="dxa" w:w="1296"/>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7"/>
              </w:rPr>
              <w:t>同域 F1</w:t>
            </w:r>
          </w:p>
        </w:tc>
        <w:tc>
          <w:tcPr>
            <w:tcW w:type="dxa" w:w="1296"/>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7"/>
              </w:rPr>
              <w:t>同域 F2</w:t>
            </w:r>
          </w:p>
        </w:tc>
        <w:tc>
          <w:tcPr>
            <w:tcW w:type="dxa" w:w="1296"/>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7"/>
              </w:rPr>
              <w:t>召回率</w:t>
            </w:r>
          </w:p>
        </w:tc>
        <w:tc>
          <w:tcPr>
            <w:tcW w:type="dxa" w:w="1440"/>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7"/>
              </w:rPr>
              <w:t>跨域 F2</w:t>
            </w:r>
          </w:p>
        </w:tc>
        <w:tc>
          <w:tcPr>
            <w:tcW w:type="dxa" w:w="1440"/>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7"/>
              </w:rPr>
              <w:t>综合评分</w:t>
            </w:r>
          </w:p>
        </w:tc>
      </w:tr>
      <w:tr>
        <w:trPr>
          <w:cantSplit/>
        </w:trPr>
        <w:tc>
          <w:tcPr>
            <w:tcW w:type="dxa" w:w="2448"/>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Logistic Regression</w:t>
            </w:r>
          </w:p>
        </w:tc>
        <w:tc>
          <w:tcPr>
            <w:tcW w:type="dxa" w:w="1296"/>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0.896</w:t>
            </w:r>
          </w:p>
        </w:tc>
        <w:tc>
          <w:tcPr>
            <w:tcW w:type="dxa" w:w="1296"/>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0.939</w:t>
            </w:r>
          </w:p>
        </w:tc>
        <w:tc>
          <w:tcPr>
            <w:tcW w:type="dxa" w:w="1296"/>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0.971</w:t>
            </w:r>
          </w:p>
        </w:tc>
        <w:tc>
          <w:tcPr>
            <w:tcW w:type="dxa" w:w="144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0.717</w:t>
            </w:r>
          </w:p>
        </w:tc>
        <w:tc>
          <w:tcPr>
            <w:tcW w:type="dxa" w:w="144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0.873</w:t>
            </w:r>
          </w:p>
        </w:tc>
      </w:tr>
      <w:tr>
        <w:trPr>
          <w:cantSplit/>
        </w:trPr>
        <w:tc>
          <w:tcPr>
            <w:tcW w:type="dxa" w:w="2448"/>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LinearSVC</w:t>
            </w:r>
          </w:p>
        </w:tc>
        <w:tc>
          <w:tcPr>
            <w:tcW w:type="dxa" w:w="1296"/>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0.958</w:t>
            </w:r>
          </w:p>
        </w:tc>
        <w:tc>
          <w:tcPr>
            <w:tcW w:type="dxa" w:w="1296"/>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0.964</w:t>
            </w:r>
          </w:p>
        </w:tc>
        <w:tc>
          <w:tcPr>
            <w:tcW w:type="dxa" w:w="1296"/>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0.967</w:t>
            </w:r>
          </w:p>
        </w:tc>
        <w:tc>
          <w:tcPr>
            <w:tcW w:type="dxa" w:w="144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0.426</w:t>
            </w:r>
          </w:p>
        </w:tc>
        <w:tc>
          <w:tcPr>
            <w:tcW w:type="dxa" w:w="144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0.802</w:t>
            </w:r>
          </w:p>
        </w:tc>
      </w:tr>
      <w:tr>
        <w:trPr>
          <w:cantSplit/>
        </w:trPr>
        <w:tc>
          <w:tcPr>
            <w:tcW w:type="dxa" w:w="2448"/>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Random Forest</w:t>
            </w:r>
          </w:p>
        </w:tc>
        <w:tc>
          <w:tcPr>
            <w:tcW w:type="dxa" w:w="1296"/>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0.963</w:t>
            </w:r>
          </w:p>
        </w:tc>
        <w:tc>
          <w:tcPr>
            <w:tcW w:type="dxa" w:w="1296"/>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0.977</w:t>
            </w:r>
          </w:p>
        </w:tc>
        <w:tc>
          <w:tcPr>
            <w:tcW w:type="dxa" w:w="1296"/>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0.987</w:t>
            </w:r>
          </w:p>
        </w:tc>
        <w:tc>
          <w:tcPr>
            <w:tcW w:type="dxa" w:w="144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w:t>
            </w:r>
          </w:p>
        </w:tc>
        <w:tc>
          <w:tcPr>
            <w:tcW w:type="dxa" w:w="144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w:t>
            </w:r>
          </w:p>
        </w:tc>
      </w:tr>
      <w:tr>
        <w:trPr>
          <w:cantSplit/>
        </w:trPr>
        <w:tc>
          <w:tcPr>
            <w:tcW w:type="dxa" w:w="2448"/>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XGBoost</w:t>
            </w:r>
          </w:p>
        </w:tc>
        <w:tc>
          <w:tcPr>
            <w:tcW w:type="dxa" w:w="1296"/>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0.969</w:t>
            </w:r>
          </w:p>
        </w:tc>
        <w:tc>
          <w:tcPr>
            <w:tcW w:type="dxa" w:w="1296"/>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0.962</w:t>
            </w:r>
          </w:p>
        </w:tc>
        <w:tc>
          <w:tcPr>
            <w:tcW w:type="dxa" w:w="1296"/>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0.958</w:t>
            </w:r>
          </w:p>
        </w:tc>
        <w:tc>
          <w:tcPr>
            <w:tcW w:type="dxa" w:w="144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0.022</w:t>
            </w:r>
          </w:p>
        </w:tc>
        <w:tc>
          <w:tcPr>
            <w:tcW w:type="dxa" w:w="144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0.680</w:t>
            </w:r>
          </w:p>
        </w:tc>
      </w:tr>
    </w:tbl>
    <w:p>
      <w:pPr>
        <w:spacing w:after="0"/>
      </w:pPr>
    </w:p>
    <w:p>
      <w:pPr>
        <w:ind w:firstLine="0"/>
        <w:jc w:val="center"/>
      </w:pPr>
      <w:r>
        <w:drawing>
          <wp:inline xmlns:a="http://schemas.openxmlformats.org/drawingml/2006/main" xmlns:pic="http://schemas.openxmlformats.org/drawingml/2006/picture">
            <wp:extent cx="5303520" cy="3030583"/>
            <wp:docPr id="5" name="Picture 5"/>
            <wp:cNvGraphicFramePr>
              <a:graphicFrameLocks noChangeAspect="1"/>
            </wp:cNvGraphicFramePr>
            <a:graphic>
              <a:graphicData uri="http://schemas.openxmlformats.org/drawingml/2006/picture">
                <pic:pic>
                  <pic:nvPicPr>
                    <pic:cNvPr id="0" name="model_comparison_val_f2.png"/>
                    <pic:cNvPicPr/>
                  </pic:nvPicPr>
                  <pic:blipFill>
                    <a:blip r:embed="rId19"/>
                    <a:stretch>
                      <a:fillRect/>
                    </a:stretch>
                  </pic:blipFill>
                  <pic:spPr>
                    <a:xfrm>
                      <a:off x="0" y="0"/>
                      <a:ext cx="5303520" cy="3030583"/>
                    </a:xfrm>
                    <a:prstGeom prst="rect"/>
                  </pic:spPr>
                </pic:pic>
              </a:graphicData>
            </a:graphic>
          </wp:inline>
        </w:drawing>
      </w:r>
    </w:p>
    <w:p>
      <w:pPr>
        <w:pStyle w:val="Caption"/>
      </w:pPr>
      <w:r>
        <w:rPr>
          <w:rFonts w:ascii="Times New Roman" w:hAnsi="Times New Roman" w:eastAsia="宋体"/>
          <w:b w:val="0"/>
          <w:color w:val="1F1F1F"/>
          <w:sz w:val="19"/>
        </w:rPr>
        <w:t>图 3-3 候选模型验证集 F2 对比</w:t>
      </w:r>
    </w:p>
    <w:p>
      <w:r>
        <w:rPr>
          <w:rFonts w:ascii="Times New Roman" w:hAnsi="Times New Roman" w:eastAsia="宋体"/>
          <w:b w:val="0"/>
          <w:color w:val="1F1F1F"/>
          <w:sz w:val="21"/>
        </w:rPr>
        <w:t>随机森林和 XGBoost 在同域验证集上取得更高分数，但正式模型选择要求候选模型同时具有同域和跨域结果。综合评分定义为 0.7×同域验证 F2 + 0.3×跨域 F2。逻辑回归的同域 F2 低于 LinearSVC，但跨域 F2 明显更高，因此最终选择逻辑回归。</w:t>
      </w:r>
    </w:p>
    <w:p>
      <w:r>
        <w:br w:type="page"/>
      </w:r>
    </w:p>
    <w:p>
      <w:pPr>
        <w:pStyle w:val="Heading2"/>
      </w:pPr>
      <w:r>
        <w:t>3.8 消融实验</w:t>
      </w:r>
    </w:p>
    <w:p>
      <w:pPr>
        <w:pStyle w:val="Caption"/>
      </w:pPr>
      <w:r>
        <w:rPr>
          <w:rFonts w:ascii="Times New Roman" w:hAnsi="Times New Roman" w:eastAsia="宋体"/>
          <w:b w:val="0"/>
          <w:color w:val="1F1F1F"/>
          <w:sz w:val="19"/>
        </w:rPr>
        <w:t>表 3-7 特征消融实验结果</w:t>
      </w:r>
    </w:p>
    <w:tbl>
      <w:tblPr>
        <w:tblW w:type="auto" w:w="0"/>
        <w:jc w:val="center"/>
        <w:tblLayout w:type="fixed"/>
        <w:tblLook w:firstColumn="1" w:firstRow="1" w:lastColumn="0" w:lastRow="0" w:noHBand="0" w:noVBand="1" w:val="04A0"/>
        <w:tblBorders>
          <w:top w:val="single" w:sz="6" w:color="7F8C95"/>
          <w:left w:val="single" w:sz="6" w:color="7F8C95"/>
          <w:bottom w:val="single" w:sz="6" w:color="7F8C95"/>
          <w:right w:val="single" w:sz="6" w:color="7F8C95"/>
          <w:insideH w:val="single" w:sz="6" w:color="7F8C95"/>
          <w:insideV w:val="single" w:sz="6" w:color="7F8C95"/>
        </w:tblBorders>
      </w:tblPr>
      <w:tblGrid>
        <w:gridCol w:w="1312"/>
        <w:gridCol w:w="1312"/>
        <w:gridCol w:w="1312"/>
        <w:gridCol w:w="1312"/>
        <w:gridCol w:w="1312"/>
        <w:gridCol w:w="1312"/>
        <w:gridCol w:w="1312"/>
      </w:tblGrid>
      <w:tr>
        <w:trPr>
          <w:tblHeader w:val="true"/>
        </w:trPr>
        <w:tc>
          <w:tcPr>
            <w:tcW w:type="dxa" w:w="2520"/>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6"/>
              </w:rPr>
              <w:t>特征方案</w:t>
            </w:r>
          </w:p>
        </w:tc>
        <w:tc>
          <w:tcPr>
            <w:tcW w:type="dxa" w:w="1080"/>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6"/>
              </w:rPr>
              <w:t>准确率</w:t>
            </w:r>
          </w:p>
        </w:tc>
        <w:tc>
          <w:tcPr>
            <w:tcW w:type="dxa" w:w="1080"/>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6"/>
              </w:rPr>
              <w:t>精确率</w:t>
            </w:r>
          </w:p>
        </w:tc>
        <w:tc>
          <w:tcPr>
            <w:tcW w:type="dxa" w:w="1080"/>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6"/>
              </w:rPr>
              <w:t>召回率</w:t>
            </w:r>
          </w:p>
        </w:tc>
        <w:tc>
          <w:tcPr>
            <w:tcW w:type="dxa" w:w="936"/>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6"/>
              </w:rPr>
              <w:t>F1</w:t>
            </w:r>
          </w:p>
        </w:tc>
        <w:tc>
          <w:tcPr>
            <w:tcW w:type="dxa" w:w="936"/>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6"/>
              </w:rPr>
              <w:t>F2</w:t>
            </w:r>
          </w:p>
        </w:tc>
        <w:tc>
          <w:tcPr>
            <w:tcW w:type="dxa" w:w="1080"/>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6"/>
              </w:rPr>
              <w:t>Brier</w:t>
            </w:r>
          </w:p>
        </w:tc>
      </w:tr>
      <w:tr>
        <w:trPr>
          <w:cantSplit/>
        </w:trPr>
        <w:tc>
          <w:tcPr>
            <w:tcW w:type="dxa" w:w="252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仅 TF-IDF</w:t>
            </w:r>
          </w:p>
        </w:tc>
        <w:tc>
          <w:tcPr>
            <w:tcW w:type="dxa" w:w="108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0.912</w:t>
            </w:r>
          </w:p>
        </w:tc>
        <w:tc>
          <w:tcPr>
            <w:tcW w:type="dxa" w:w="108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0.884</w:t>
            </w:r>
          </w:p>
        </w:tc>
        <w:tc>
          <w:tcPr>
            <w:tcW w:type="dxa" w:w="108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0.948</w:t>
            </w:r>
          </w:p>
        </w:tc>
        <w:tc>
          <w:tcPr>
            <w:tcW w:type="dxa" w:w="936"/>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0.915</w:t>
            </w:r>
          </w:p>
        </w:tc>
        <w:tc>
          <w:tcPr>
            <w:tcW w:type="dxa" w:w="936"/>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0.934</w:t>
            </w:r>
          </w:p>
        </w:tc>
        <w:tc>
          <w:tcPr>
            <w:tcW w:type="dxa" w:w="108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0.069</w:t>
            </w:r>
          </w:p>
        </w:tc>
      </w:tr>
      <w:tr>
        <w:trPr>
          <w:cantSplit/>
        </w:trPr>
        <w:tc>
          <w:tcPr>
            <w:tcW w:type="dxa" w:w="252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 文本统计</w:t>
            </w:r>
          </w:p>
        </w:tc>
        <w:tc>
          <w:tcPr>
            <w:tcW w:type="dxa" w:w="108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0.920</w:t>
            </w:r>
          </w:p>
        </w:tc>
        <w:tc>
          <w:tcPr>
            <w:tcW w:type="dxa" w:w="108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0.901</w:t>
            </w:r>
          </w:p>
        </w:tc>
        <w:tc>
          <w:tcPr>
            <w:tcW w:type="dxa" w:w="108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0.945</w:t>
            </w:r>
          </w:p>
        </w:tc>
        <w:tc>
          <w:tcPr>
            <w:tcW w:type="dxa" w:w="936"/>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0.922</w:t>
            </w:r>
          </w:p>
        </w:tc>
        <w:tc>
          <w:tcPr>
            <w:tcW w:type="dxa" w:w="936"/>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0.935</w:t>
            </w:r>
          </w:p>
        </w:tc>
        <w:tc>
          <w:tcPr>
            <w:tcW w:type="dxa" w:w="108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0.067</w:t>
            </w:r>
          </w:p>
        </w:tc>
      </w:tr>
      <w:tr>
        <w:trPr>
          <w:cantSplit/>
        </w:trPr>
        <w:tc>
          <w:tcPr>
            <w:tcW w:type="dxa" w:w="252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 VADER</w:t>
            </w:r>
          </w:p>
        </w:tc>
        <w:tc>
          <w:tcPr>
            <w:tcW w:type="dxa" w:w="108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0.926</w:t>
            </w:r>
          </w:p>
        </w:tc>
        <w:tc>
          <w:tcPr>
            <w:tcW w:type="dxa" w:w="108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0.912</w:t>
            </w:r>
          </w:p>
        </w:tc>
        <w:tc>
          <w:tcPr>
            <w:tcW w:type="dxa" w:w="108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0.945</w:t>
            </w:r>
          </w:p>
        </w:tc>
        <w:tc>
          <w:tcPr>
            <w:tcW w:type="dxa" w:w="936"/>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0.928</w:t>
            </w:r>
          </w:p>
        </w:tc>
        <w:tc>
          <w:tcPr>
            <w:tcW w:type="dxa" w:w="936"/>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0.938</w:t>
            </w:r>
          </w:p>
        </w:tc>
        <w:tc>
          <w:tcPr>
            <w:tcW w:type="dxa" w:w="108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0.067</w:t>
            </w:r>
          </w:p>
        </w:tc>
      </w:tr>
      <w:tr>
        <w:trPr>
          <w:cantSplit/>
        </w:trPr>
        <w:tc>
          <w:tcPr>
            <w:tcW w:type="dxa" w:w="252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 EMNLP'17 词典</w:t>
            </w:r>
          </w:p>
        </w:tc>
        <w:tc>
          <w:tcPr>
            <w:tcW w:type="dxa" w:w="108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0.887</w:t>
            </w:r>
          </w:p>
        </w:tc>
        <w:tc>
          <w:tcPr>
            <w:tcW w:type="dxa" w:w="108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0.832</w:t>
            </w:r>
          </w:p>
        </w:tc>
        <w:tc>
          <w:tcPr>
            <w:tcW w:type="dxa" w:w="108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0.971</w:t>
            </w:r>
          </w:p>
        </w:tc>
        <w:tc>
          <w:tcPr>
            <w:tcW w:type="dxa" w:w="936"/>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0.896</w:t>
            </w:r>
          </w:p>
        </w:tc>
        <w:tc>
          <w:tcPr>
            <w:tcW w:type="dxa" w:w="936"/>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0.939</w:t>
            </w:r>
          </w:p>
        </w:tc>
        <w:tc>
          <w:tcPr>
            <w:tcW w:type="dxa" w:w="108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0.062</w:t>
            </w:r>
          </w:p>
        </w:tc>
      </w:tr>
    </w:tbl>
    <w:p>
      <w:pPr>
        <w:spacing w:after="0"/>
      </w:pPr>
    </w:p>
    <w:p>
      <w:r>
        <w:rPr>
          <w:rFonts w:ascii="Times New Roman" w:hAnsi="Times New Roman" w:eastAsia="宋体"/>
          <w:b w:val="0"/>
          <w:color w:val="1F1F1F"/>
          <w:sz w:val="21"/>
        </w:rPr>
        <w:t>从结果看，加入文本统计和 VADER 后准确率、精确率与 F1 持续提升。加入 EMNLP'17 词典后，召回率由 0.945 上升至 0.971，F2 上升至 0.939，但精确率和准确率下降。这表明词典弱特征有助于捕获更多阳性表达，同时也会把部分身体不适或一般负面表达误判为阳性。</w:t>
      </w:r>
    </w:p>
    <w:p>
      <w:r>
        <w:rPr>
          <w:rFonts w:ascii="Times New Roman" w:hAnsi="Times New Roman" w:eastAsia="宋体"/>
          <w:b w:val="0"/>
          <w:color w:val="1F1F1F"/>
          <w:sz w:val="21"/>
        </w:rPr>
        <w:t>因此消融实验不能简单得出“特征越多越好”的结论。对于偏重召回的筛查式教学任务，完整特征具有一定价值；对于更重视误报控制的实际应用，应重新设定阈值或降低词典特征权重。</w:t>
      </w:r>
    </w:p>
    <w:p>
      <w:pPr>
        <w:pStyle w:val="Heading2"/>
      </w:pPr>
      <w:r>
        <w:t>3.9 同域测试结果</w:t>
      </w:r>
    </w:p>
    <w:p>
      <w:pPr>
        <w:pStyle w:val="Caption"/>
      </w:pPr>
      <w:r>
        <w:rPr>
          <w:rFonts w:ascii="Times New Roman" w:hAnsi="Times New Roman" w:eastAsia="宋体"/>
          <w:b w:val="0"/>
          <w:color w:val="1F1F1F"/>
          <w:sz w:val="19"/>
        </w:rPr>
        <w:t>表 3-8 最终模型同域测试指标</w:t>
      </w:r>
    </w:p>
    <w:tbl>
      <w:tblPr>
        <w:tblW w:type="auto" w:w="0"/>
        <w:jc w:val="center"/>
        <w:tblLayout w:type="fixed"/>
        <w:tblLook w:firstColumn="1" w:firstRow="1" w:lastColumn="0" w:lastRow="0" w:noHBand="0" w:noVBand="1" w:val="04A0"/>
        <w:tblBorders>
          <w:top w:val="single" w:sz="6" w:color="7F8C95"/>
          <w:left w:val="single" w:sz="6" w:color="7F8C95"/>
          <w:bottom w:val="single" w:sz="6" w:color="7F8C95"/>
          <w:right w:val="single" w:sz="6" w:color="7F8C95"/>
          <w:insideH w:val="single" w:sz="6" w:color="7F8C95"/>
          <w:insideV w:val="single" w:sz="6" w:color="7F8C95"/>
        </w:tblBorders>
      </w:tblPr>
      <w:tblGrid>
        <w:gridCol w:w="4592"/>
        <w:gridCol w:w="4592"/>
      </w:tblGrid>
      <w:tr>
        <w:trPr>
          <w:tblHeader w:val="true"/>
        </w:trPr>
        <w:tc>
          <w:tcPr>
            <w:tcW w:type="dxa" w:w="4320"/>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8"/>
              </w:rPr>
              <w:t>指标</w:t>
            </w:r>
          </w:p>
        </w:tc>
        <w:tc>
          <w:tcPr>
            <w:tcW w:type="dxa" w:w="3168"/>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8"/>
              </w:rPr>
              <w:t>数值</w:t>
            </w:r>
          </w:p>
        </w:tc>
      </w:tr>
      <w:tr>
        <w:trPr>
          <w:cantSplit/>
        </w:trPr>
        <w:tc>
          <w:tcPr>
            <w:tcW w:type="dxa" w:w="432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Accuracy</w:t>
            </w:r>
          </w:p>
        </w:tc>
        <w:tc>
          <w:tcPr>
            <w:tcW w:type="dxa" w:w="3168"/>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0.8876</w:t>
            </w:r>
          </w:p>
        </w:tc>
      </w:tr>
      <w:tr>
        <w:trPr>
          <w:cantSplit/>
        </w:trPr>
        <w:tc>
          <w:tcPr>
            <w:tcW w:type="dxa" w:w="432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Precision</w:t>
            </w:r>
          </w:p>
        </w:tc>
        <w:tc>
          <w:tcPr>
            <w:tcW w:type="dxa" w:w="3168"/>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0.8284</w:t>
            </w:r>
          </w:p>
        </w:tc>
      </w:tr>
      <w:tr>
        <w:trPr>
          <w:cantSplit/>
        </w:trPr>
        <w:tc>
          <w:tcPr>
            <w:tcW w:type="dxa" w:w="432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Recall</w:t>
            </w:r>
          </w:p>
        </w:tc>
        <w:tc>
          <w:tcPr>
            <w:tcW w:type="dxa" w:w="3168"/>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0.9792</w:t>
            </w:r>
          </w:p>
        </w:tc>
      </w:tr>
      <w:tr>
        <w:trPr>
          <w:cantSplit/>
        </w:trPr>
        <w:tc>
          <w:tcPr>
            <w:tcW w:type="dxa" w:w="432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Specificity</w:t>
            </w:r>
          </w:p>
        </w:tc>
        <w:tc>
          <w:tcPr>
            <w:tcW w:type="dxa" w:w="3168"/>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0.7950</w:t>
            </w:r>
          </w:p>
        </w:tc>
      </w:tr>
      <w:tr>
        <w:trPr>
          <w:cantSplit/>
        </w:trPr>
        <w:tc>
          <w:tcPr>
            <w:tcW w:type="dxa" w:w="432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F1</w:t>
            </w:r>
          </w:p>
        </w:tc>
        <w:tc>
          <w:tcPr>
            <w:tcW w:type="dxa" w:w="3168"/>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0.8975</w:t>
            </w:r>
          </w:p>
        </w:tc>
      </w:tr>
      <w:tr>
        <w:trPr>
          <w:cantSplit/>
        </w:trPr>
        <w:tc>
          <w:tcPr>
            <w:tcW w:type="dxa" w:w="432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F2</w:t>
            </w:r>
          </w:p>
        </w:tc>
        <w:tc>
          <w:tcPr>
            <w:tcW w:type="dxa" w:w="3168"/>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0.9448</w:t>
            </w:r>
          </w:p>
        </w:tc>
      </w:tr>
      <w:tr>
        <w:trPr>
          <w:cantSplit/>
        </w:trPr>
        <w:tc>
          <w:tcPr>
            <w:tcW w:type="dxa" w:w="432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MCC</w:t>
            </w:r>
          </w:p>
        </w:tc>
        <w:tc>
          <w:tcPr>
            <w:tcW w:type="dxa" w:w="3168"/>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0.7883</w:t>
            </w:r>
          </w:p>
        </w:tc>
      </w:tr>
      <w:tr>
        <w:trPr>
          <w:cantSplit/>
        </w:trPr>
        <w:tc>
          <w:tcPr>
            <w:tcW w:type="dxa" w:w="432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ROC-AUC</w:t>
            </w:r>
          </w:p>
        </w:tc>
        <w:tc>
          <w:tcPr>
            <w:tcW w:type="dxa" w:w="3168"/>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0.9766</w:t>
            </w:r>
          </w:p>
        </w:tc>
      </w:tr>
      <w:tr>
        <w:trPr>
          <w:cantSplit/>
        </w:trPr>
        <w:tc>
          <w:tcPr>
            <w:tcW w:type="dxa" w:w="432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PR-AUC</w:t>
            </w:r>
          </w:p>
        </w:tc>
        <w:tc>
          <w:tcPr>
            <w:tcW w:type="dxa" w:w="3168"/>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0.9781</w:t>
            </w:r>
          </w:p>
        </w:tc>
      </w:tr>
      <w:tr>
        <w:trPr>
          <w:cantSplit/>
        </w:trPr>
        <w:tc>
          <w:tcPr>
            <w:tcW w:type="dxa" w:w="432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Brier score</w:t>
            </w:r>
          </w:p>
        </w:tc>
        <w:tc>
          <w:tcPr>
            <w:tcW w:type="dxa" w:w="3168"/>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0.0642</w:t>
            </w:r>
          </w:p>
        </w:tc>
      </w:tr>
    </w:tbl>
    <w:p>
      <w:pPr>
        <w:spacing w:after="0"/>
      </w:pPr>
    </w:p>
    <w:p>
      <w:pPr>
        <w:ind w:firstLine="0"/>
        <w:jc w:val="center"/>
      </w:pPr>
      <w:r>
        <w:drawing>
          <wp:inline xmlns:a="http://schemas.openxmlformats.org/drawingml/2006/main" xmlns:pic="http://schemas.openxmlformats.org/drawingml/2006/picture">
            <wp:extent cx="4206240" cy="3364992"/>
            <wp:docPr id="6" name="Picture 6"/>
            <wp:cNvGraphicFramePr>
              <a:graphicFrameLocks noChangeAspect="1"/>
            </wp:cNvGraphicFramePr>
            <a:graphic>
              <a:graphicData uri="http://schemas.openxmlformats.org/drawingml/2006/picture">
                <pic:pic>
                  <pic:nvPicPr>
                    <pic:cNvPr id="0" name="confusion_matrix_test.png"/>
                    <pic:cNvPicPr/>
                  </pic:nvPicPr>
                  <pic:blipFill>
                    <a:blip r:embed="rId20"/>
                    <a:stretch>
                      <a:fillRect/>
                    </a:stretch>
                  </pic:blipFill>
                  <pic:spPr>
                    <a:xfrm>
                      <a:off x="0" y="0"/>
                      <a:ext cx="4206240" cy="3364992"/>
                    </a:xfrm>
                    <a:prstGeom prst="rect"/>
                  </pic:spPr>
                </pic:pic>
              </a:graphicData>
            </a:graphic>
          </wp:inline>
        </w:drawing>
      </w:r>
    </w:p>
    <w:p>
      <w:pPr>
        <w:pStyle w:val="Caption"/>
      </w:pPr>
      <w:r>
        <w:rPr>
          <w:rFonts w:ascii="Times New Roman" w:hAnsi="Times New Roman" w:eastAsia="宋体"/>
          <w:b w:val="0"/>
          <w:color w:val="1F1F1F"/>
          <w:sz w:val="19"/>
        </w:rPr>
        <w:t>图 3-4 最终模型测试集混淆矩阵</w:t>
      </w:r>
    </w:p>
    <w:p>
      <w:r>
        <w:rPr>
          <w:rFonts w:ascii="Times New Roman" w:hAnsi="Times New Roman" w:eastAsia="宋体"/>
          <w:b w:val="0"/>
          <w:color w:val="1F1F1F"/>
          <w:sz w:val="21"/>
        </w:rPr>
        <w:t>最终逻辑回归在 1530 条测试样本上的召回率为 0.9792，F2 为 0.9448，说明在当前同域测试分布中漏检较少；精确率为 0.8284，Specificity 为 0.7950，表明仍有一定数量的负类文本被判为阳性。这与项目偏重召回的阈值策略一致。</w:t>
      </w:r>
    </w:p>
    <w:p>
      <w:r>
        <w:br w:type="page"/>
      </w:r>
    </w:p>
    <w:p>
      <w:pPr>
        <w:pStyle w:val="Heading3"/>
      </w:pPr>
      <w:r>
        <w:t>3.9.1 ROC、PR 与校准结果</w:t>
      </w:r>
    </w:p>
    <w:p>
      <w:pPr>
        <w:ind w:firstLine="0"/>
        <w:jc w:val="center"/>
      </w:pPr>
      <w:r>
        <w:drawing>
          <wp:inline xmlns:a="http://schemas.openxmlformats.org/drawingml/2006/main" xmlns:pic="http://schemas.openxmlformats.org/drawingml/2006/picture">
            <wp:extent cx="4389120" cy="3511296"/>
            <wp:docPr id="7" name="Picture 7"/>
            <wp:cNvGraphicFramePr>
              <a:graphicFrameLocks noChangeAspect="1"/>
            </wp:cNvGraphicFramePr>
            <a:graphic>
              <a:graphicData uri="http://schemas.openxmlformats.org/drawingml/2006/picture">
                <pic:pic>
                  <pic:nvPicPr>
                    <pic:cNvPr id="0" name="roc_test.png"/>
                    <pic:cNvPicPr/>
                  </pic:nvPicPr>
                  <pic:blipFill>
                    <a:blip r:embed="rId21"/>
                    <a:stretch>
                      <a:fillRect/>
                    </a:stretch>
                  </pic:blipFill>
                  <pic:spPr>
                    <a:xfrm>
                      <a:off x="0" y="0"/>
                      <a:ext cx="4389120" cy="3511296"/>
                    </a:xfrm>
                    <a:prstGeom prst="rect"/>
                  </pic:spPr>
                </pic:pic>
              </a:graphicData>
            </a:graphic>
          </wp:inline>
        </w:drawing>
      </w:r>
    </w:p>
    <w:p>
      <w:pPr>
        <w:pStyle w:val="Caption"/>
      </w:pPr>
      <w:r>
        <w:rPr>
          <w:rFonts w:ascii="Times New Roman" w:hAnsi="Times New Roman" w:eastAsia="宋体"/>
          <w:b w:val="0"/>
          <w:color w:val="1F1F1F"/>
          <w:sz w:val="19"/>
        </w:rPr>
        <w:t>图 3-5 测试集 ROC 曲线</w:t>
      </w:r>
    </w:p>
    <w:p>
      <w:pPr>
        <w:ind w:firstLine="0"/>
        <w:jc w:val="center"/>
      </w:pPr>
      <w:r>
        <w:drawing>
          <wp:inline xmlns:a="http://schemas.openxmlformats.org/drawingml/2006/main" xmlns:pic="http://schemas.openxmlformats.org/drawingml/2006/picture">
            <wp:extent cx="4389120" cy="3511296"/>
            <wp:docPr id="8" name="Picture 8"/>
            <wp:cNvGraphicFramePr>
              <a:graphicFrameLocks noChangeAspect="1"/>
            </wp:cNvGraphicFramePr>
            <a:graphic>
              <a:graphicData uri="http://schemas.openxmlformats.org/drawingml/2006/picture">
                <pic:pic>
                  <pic:nvPicPr>
                    <pic:cNvPr id="0" name="pr_test.png"/>
                    <pic:cNvPicPr/>
                  </pic:nvPicPr>
                  <pic:blipFill>
                    <a:blip r:embed="rId22"/>
                    <a:stretch>
                      <a:fillRect/>
                    </a:stretch>
                  </pic:blipFill>
                  <pic:spPr>
                    <a:xfrm>
                      <a:off x="0" y="0"/>
                      <a:ext cx="4389120" cy="3511296"/>
                    </a:xfrm>
                    <a:prstGeom prst="rect"/>
                  </pic:spPr>
                </pic:pic>
              </a:graphicData>
            </a:graphic>
          </wp:inline>
        </w:drawing>
      </w:r>
    </w:p>
    <w:p>
      <w:pPr>
        <w:pStyle w:val="Caption"/>
      </w:pPr>
      <w:r>
        <w:rPr>
          <w:rFonts w:ascii="Times New Roman" w:hAnsi="Times New Roman" w:eastAsia="宋体"/>
          <w:b w:val="0"/>
          <w:color w:val="1F1F1F"/>
          <w:sz w:val="19"/>
        </w:rPr>
        <w:t>图 3-6 测试集 Precision-Recall 曲线</w:t>
      </w:r>
    </w:p>
    <w:p>
      <w:r>
        <w:rPr>
          <w:rFonts w:ascii="Times New Roman" w:hAnsi="Times New Roman" w:eastAsia="宋体"/>
          <w:b w:val="0"/>
          <w:color w:val="1F1F1F"/>
          <w:sz w:val="21"/>
        </w:rPr>
        <w:t>ROC-AUC 为 0.9766，PR-AUC 为 0.9781，说明模型对两类样本具有较好的排序能力。AUC 不依赖单一阈值，因此不能替代精确率、召回率和混淆矩阵分析。</w:t>
      </w:r>
    </w:p>
    <w:p>
      <w:r>
        <w:br w:type="page"/>
      </w:r>
    </w:p>
    <w:p>
      <w:pPr>
        <w:ind w:firstLine="0"/>
        <w:jc w:val="center"/>
      </w:pPr>
      <w:r>
        <w:drawing>
          <wp:inline xmlns:a="http://schemas.openxmlformats.org/drawingml/2006/main" xmlns:pic="http://schemas.openxmlformats.org/drawingml/2006/picture">
            <wp:extent cx="4480560" cy="3584448"/>
            <wp:docPr id="9" name="Picture 9"/>
            <wp:cNvGraphicFramePr>
              <a:graphicFrameLocks noChangeAspect="1"/>
            </wp:cNvGraphicFramePr>
            <a:graphic>
              <a:graphicData uri="http://schemas.openxmlformats.org/drawingml/2006/picture">
                <pic:pic>
                  <pic:nvPicPr>
                    <pic:cNvPr id="0" name="calibration_reliability_test.png"/>
                    <pic:cNvPicPr/>
                  </pic:nvPicPr>
                  <pic:blipFill>
                    <a:blip r:embed="rId23"/>
                    <a:stretch>
                      <a:fillRect/>
                    </a:stretch>
                  </pic:blipFill>
                  <pic:spPr>
                    <a:xfrm>
                      <a:off x="0" y="0"/>
                      <a:ext cx="4480560" cy="3584448"/>
                    </a:xfrm>
                    <a:prstGeom prst="rect"/>
                  </pic:spPr>
                </pic:pic>
              </a:graphicData>
            </a:graphic>
          </wp:inline>
        </w:drawing>
      </w:r>
    </w:p>
    <w:p>
      <w:pPr>
        <w:pStyle w:val="Caption"/>
      </w:pPr>
      <w:r>
        <w:rPr>
          <w:rFonts w:ascii="Times New Roman" w:hAnsi="Times New Roman" w:eastAsia="宋体"/>
          <w:b w:val="0"/>
          <w:color w:val="1F1F1F"/>
          <w:sz w:val="19"/>
        </w:rPr>
        <w:t>图 3-7 测试集校准可靠性图</w:t>
      </w:r>
    </w:p>
    <w:p>
      <w:pPr>
        <w:pStyle w:val="Caption"/>
      </w:pPr>
      <w:r>
        <w:rPr>
          <w:rFonts w:ascii="Times New Roman" w:hAnsi="Times New Roman" w:eastAsia="宋体"/>
          <w:b w:val="0"/>
          <w:color w:val="1F1F1F"/>
          <w:sz w:val="19"/>
        </w:rPr>
        <w:t>表 3-9 测试指标与 95% Bootstrap 置信区间</w:t>
      </w:r>
    </w:p>
    <w:tbl>
      <w:tblPr>
        <w:tblW w:type="auto" w:w="0"/>
        <w:jc w:val="center"/>
        <w:tblLayout w:type="fixed"/>
        <w:tblLook w:firstColumn="1" w:firstRow="1" w:lastColumn="0" w:lastRow="0" w:noHBand="0" w:noVBand="1" w:val="04A0"/>
        <w:tblBorders>
          <w:top w:val="single" w:sz="6" w:color="7F8C95"/>
          <w:left w:val="single" w:sz="6" w:color="7F8C95"/>
          <w:bottom w:val="single" w:sz="6" w:color="7F8C95"/>
          <w:right w:val="single" w:sz="6" w:color="7F8C95"/>
          <w:insideH w:val="single" w:sz="6" w:color="7F8C95"/>
          <w:insideV w:val="single" w:sz="6" w:color="7F8C95"/>
        </w:tblBorders>
      </w:tblPr>
      <w:tblGrid>
        <w:gridCol w:w="3062"/>
        <w:gridCol w:w="3062"/>
        <w:gridCol w:w="3062"/>
      </w:tblGrid>
      <w:tr>
        <w:trPr>
          <w:tblHeader w:val="true"/>
        </w:trPr>
        <w:tc>
          <w:tcPr>
            <w:tcW w:type="dxa" w:w="2880"/>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8"/>
              </w:rPr>
              <w:t>指标</w:t>
            </w:r>
          </w:p>
        </w:tc>
        <w:tc>
          <w:tcPr>
            <w:tcW w:type="dxa" w:w="1872"/>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8"/>
              </w:rPr>
              <w:t>点估计</w:t>
            </w:r>
          </w:p>
        </w:tc>
        <w:tc>
          <w:tcPr>
            <w:tcW w:type="dxa" w:w="3888"/>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8"/>
              </w:rPr>
              <w:t>95% 置信区间</w:t>
            </w:r>
          </w:p>
        </w:tc>
      </w:tr>
      <w:tr>
        <w:trPr>
          <w:cantSplit/>
        </w:trPr>
        <w:tc>
          <w:tcPr>
            <w:tcW w:type="dxa" w:w="288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Accuracy</w:t>
            </w:r>
          </w:p>
        </w:tc>
        <w:tc>
          <w:tcPr>
            <w:tcW w:type="dxa" w:w="1872"/>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0.8876</w:t>
            </w:r>
          </w:p>
        </w:tc>
        <w:tc>
          <w:tcPr>
            <w:tcW w:type="dxa" w:w="3888"/>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[0.8712, 0.9040]</w:t>
            </w:r>
          </w:p>
        </w:tc>
      </w:tr>
      <w:tr>
        <w:trPr>
          <w:cantSplit/>
        </w:trPr>
        <w:tc>
          <w:tcPr>
            <w:tcW w:type="dxa" w:w="288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F1</w:t>
            </w:r>
          </w:p>
        </w:tc>
        <w:tc>
          <w:tcPr>
            <w:tcW w:type="dxa" w:w="1872"/>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0.8975</w:t>
            </w:r>
          </w:p>
        </w:tc>
        <w:tc>
          <w:tcPr>
            <w:tcW w:type="dxa" w:w="3888"/>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[0.8823, 0.9131]</w:t>
            </w:r>
          </w:p>
        </w:tc>
      </w:tr>
      <w:tr>
        <w:trPr>
          <w:cantSplit/>
        </w:trPr>
        <w:tc>
          <w:tcPr>
            <w:tcW w:type="dxa" w:w="288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F2</w:t>
            </w:r>
          </w:p>
        </w:tc>
        <w:tc>
          <w:tcPr>
            <w:tcW w:type="dxa" w:w="1872"/>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0.9448</w:t>
            </w:r>
          </w:p>
        </w:tc>
        <w:tc>
          <w:tcPr>
            <w:tcW w:type="dxa" w:w="3888"/>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[0.9332, 0.9546]</w:t>
            </w:r>
          </w:p>
        </w:tc>
      </w:tr>
      <w:tr>
        <w:trPr>
          <w:cantSplit/>
        </w:trPr>
        <w:tc>
          <w:tcPr>
            <w:tcW w:type="dxa" w:w="288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Precision</w:t>
            </w:r>
          </w:p>
        </w:tc>
        <w:tc>
          <w:tcPr>
            <w:tcW w:type="dxa" w:w="1872"/>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0.8284</w:t>
            </w:r>
          </w:p>
        </w:tc>
        <w:tc>
          <w:tcPr>
            <w:tcW w:type="dxa" w:w="3888"/>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[0.8030, 0.8547]</w:t>
            </w:r>
          </w:p>
        </w:tc>
      </w:tr>
      <w:tr>
        <w:trPr>
          <w:cantSplit/>
        </w:trPr>
        <w:tc>
          <w:tcPr>
            <w:tcW w:type="dxa" w:w="288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Recall</w:t>
            </w:r>
          </w:p>
        </w:tc>
        <w:tc>
          <w:tcPr>
            <w:tcW w:type="dxa" w:w="1872"/>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0.9792</w:t>
            </w:r>
          </w:p>
        </w:tc>
        <w:tc>
          <w:tcPr>
            <w:tcW w:type="dxa" w:w="3888"/>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[0.9669, 0.9883]</w:t>
            </w:r>
          </w:p>
        </w:tc>
      </w:tr>
      <w:tr>
        <w:trPr>
          <w:cantSplit/>
        </w:trPr>
        <w:tc>
          <w:tcPr>
            <w:tcW w:type="dxa" w:w="288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Specificity</w:t>
            </w:r>
          </w:p>
        </w:tc>
        <w:tc>
          <w:tcPr>
            <w:tcW w:type="dxa" w:w="1872"/>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0.7950</w:t>
            </w:r>
          </w:p>
        </w:tc>
        <w:tc>
          <w:tcPr>
            <w:tcW w:type="dxa" w:w="3888"/>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[0.7655, 0.8256]</w:t>
            </w:r>
          </w:p>
        </w:tc>
      </w:tr>
      <w:tr>
        <w:trPr>
          <w:cantSplit/>
        </w:trPr>
        <w:tc>
          <w:tcPr>
            <w:tcW w:type="dxa" w:w="288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ROC-AUC</w:t>
            </w:r>
          </w:p>
        </w:tc>
        <w:tc>
          <w:tcPr>
            <w:tcW w:type="dxa" w:w="1872"/>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0.9766</w:t>
            </w:r>
          </w:p>
        </w:tc>
        <w:tc>
          <w:tcPr>
            <w:tcW w:type="dxa" w:w="3888"/>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[0.9704, 0.9824]</w:t>
            </w:r>
          </w:p>
        </w:tc>
      </w:tr>
      <w:tr>
        <w:trPr>
          <w:cantSplit/>
        </w:trPr>
        <w:tc>
          <w:tcPr>
            <w:tcW w:type="dxa" w:w="288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Brier</w:t>
            </w:r>
          </w:p>
        </w:tc>
        <w:tc>
          <w:tcPr>
            <w:tcW w:type="dxa" w:w="1872"/>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0.0642</w:t>
            </w:r>
          </w:p>
        </w:tc>
        <w:tc>
          <w:tcPr>
            <w:tcW w:type="dxa" w:w="3888"/>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[0.0549, 0.0741]</w:t>
            </w:r>
          </w:p>
        </w:tc>
      </w:tr>
    </w:tbl>
    <w:p>
      <w:pPr>
        <w:spacing w:after="0"/>
      </w:pPr>
    </w:p>
    <w:p>
      <w:r>
        <w:rPr>
          <w:rFonts w:ascii="Times New Roman" w:hAnsi="Times New Roman" w:eastAsia="宋体"/>
          <w:b w:val="0"/>
          <w:color w:val="1F1F1F"/>
          <w:sz w:val="21"/>
        </w:rPr>
        <w:t>F2 的 95% 置信区间为 [0.9332, 0.9546]，Recall 的区间为 [0.9669, 0.9883]。Brier score 为 0.0642，说明校准后分数在当前测试集上具有一定概率一致性，但跨域 Brier 明显变差，不能据此把分数解释为通用的患病概率。</w:t>
      </w:r>
    </w:p>
    <w:p>
      <w:pPr>
        <w:pStyle w:val="Heading2"/>
      </w:pPr>
      <w:r>
        <w:t>3.10 跨数据源评估</w:t>
      </w:r>
    </w:p>
    <w:p>
      <w:pPr>
        <w:ind w:firstLine="0"/>
        <w:jc w:val="center"/>
      </w:pPr>
      <w:r>
        <w:drawing>
          <wp:inline xmlns:a="http://schemas.openxmlformats.org/drawingml/2006/main" xmlns:pic="http://schemas.openxmlformats.org/drawingml/2006/picture">
            <wp:extent cx="5303520" cy="3535680"/>
            <wp:docPr id="10" name="Picture 10"/>
            <wp:cNvGraphicFramePr>
              <a:graphicFrameLocks noChangeAspect="1"/>
            </wp:cNvGraphicFramePr>
            <a:graphic>
              <a:graphicData uri="http://schemas.openxmlformats.org/drawingml/2006/picture">
                <pic:pic>
                  <pic:nvPicPr>
                    <pic:cNvPr id="0" name="oov_f2_by_source.png"/>
                    <pic:cNvPicPr/>
                  </pic:nvPicPr>
                  <pic:blipFill>
                    <a:blip r:embed="rId24"/>
                    <a:stretch>
                      <a:fillRect/>
                    </a:stretch>
                  </pic:blipFill>
                  <pic:spPr>
                    <a:xfrm>
                      <a:off x="0" y="0"/>
                      <a:ext cx="5303520" cy="3535680"/>
                    </a:xfrm>
                    <a:prstGeom prst="rect"/>
                  </pic:spPr>
                </pic:pic>
              </a:graphicData>
            </a:graphic>
          </wp:inline>
        </w:drawing>
      </w:r>
    </w:p>
    <w:p>
      <w:pPr>
        <w:pStyle w:val="Caption"/>
      </w:pPr>
      <w:r>
        <w:rPr>
          <w:rFonts w:ascii="Times New Roman" w:hAnsi="Times New Roman" w:eastAsia="宋体"/>
          <w:b w:val="0"/>
          <w:color w:val="1F1F1F"/>
          <w:sz w:val="19"/>
        </w:rPr>
        <w:t>图 3-8 不同模型跨数据源 F2 对比</w:t>
      </w:r>
    </w:p>
    <w:p>
      <w:pPr>
        <w:pStyle w:val="Caption"/>
      </w:pPr>
      <w:r>
        <w:rPr>
          <w:rFonts w:ascii="Times New Roman" w:hAnsi="Times New Roman" w:eastAsia="宋体"/>
          <w:b w:val="0"/>
          <w:color w:val="1F1F1F"/>
          <w:sz w:val="19"/>
        </w:rPr>
        <w:t>表 3-10 跨数据源测试结果</w:t>
      </w:r>
    </w:p>
    <w:tbl>
      <w:tblPr>
        <w:tblW w:type="auto" w:w="0"/>
        <w:jc w:val="center"/>
        <w:tblLayout w:type="fixed"/>
        <w:tblLook w:firstColumn="1" w:firstRow="1" w:lastColumn="0" w:lastRow="0" w:noHBand="0" w:noVBand="1" w:val="04A0"/>
        <w:tblBorders>
          <w:top w:val="single" w:sz="6" w:color="7F8C95"/>
          <w:left w:val="single" w:sz="6" w:color="7F8C95"/>
          <w:bottom w:val="single" w:sz="6" w:color="7F8C95"/>
          <w:right w:val="single" w:sz="6" w:color="7F8C95"/>
          <w:insideH w:val="single" w:sz="6" w:color="7F8C95"/>
          <w:insideV w:val="single" w:sz="6" w:color="7F8C95"/>
        </w:tblBorders>
      </w:tblPr>
      <w:tblGrid>
        <w:gridCol w:w="1312"/>
        <w:gridCol w:w="1312"/>
        <w:gridCol w:w="1312"/>
        <w:gridCol w:w="1312"/>
        <w:gridCol w:w="1312"/>
        <w:gridCol w:w="1312"/>
        <w:gridCol w:w="1312"/>
      </w:tblGrid>
      <w:tr>
        <w:trPr>
          <w:tblHeader w:val="true"/>
        </w:trPr>
        <w:tc>
          <w:tcPr>
            <w:tcW w:type="dxa" w:w="2376"/>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6"/>
              </w:rPr>
              <w:t>模型</w:t>
            </w:r>
          </w:p>
        </w:tc>
        <w:tc>
          <w:tcPr>
            <w:tcW w:type="dxa" w:w="1080"/>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6"/>
              </w:rPr>
              <w:t>准确率</w:t>
            </w:r>
          </w:p>
        </w:tc>
        <w:tc>
          <w:tcPr>
            <w:tcW w:type="dxa" w:w="1080"/>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6"/>
              </w:rPr>
              <w:t>精确率</w:t>
            </w:r>
          </w:p>
        </w:tc>
        <w:tc>
          <w:tcPr>
            <w:tcW w:type="dxa" w:w="1080"/>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6"/>
              </w:rPr>
              <w:t>召回率</w:t>
            </w:r>
          </w:p>
        </w:tc>
        <w:tc>
          <w:tcPr>
            <w:tcW w:type="dxa" w:w="936"/>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6"/>
              </w:rPr>
              <w:t>F1</w:t>
            </w:r>
          </w:p>
        </w:tc>
        <w:tc>
          <w:tcPr>
            <w:tcW w:type="dxa" w:w="936"/>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6"/>
              </w:rPr>
              <w:t>F2</w:t>
            </w:r>
          </w:p>
        </w:tc>
        <w:tc>
          <w:tcPr>
            <w:tcW w:type="dxa" w:w="1152"/>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6"/>
              </w:rPr>
              <w:t>ROC-AUC</w:t>
            </w:r>
          </w:p>
        </w:tc>
      </w:tr>
      <w:tr>
        <w:trPr>
          <w:cantSplit/>
        </w:trPr>
        <w:tc>
          <w:tcPr>
            <w:tcW w:type="dxa" w:w="2376"/>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Logistic Regression</w:t>
            </w:r>
          </w:p>
        </w:tc>
        <w:tc>
          <w:tcPr>
            <w:tcW w:type="dxa" w:w="108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0.641</w:t>
            </w:r>
          </w:p>
        </w:tc>
        <w:tc>
          <w:tcPr>
            <w:tcW w:type="dxa" w:w="108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0.603</w:t>
            </w:r>
          </w:p>
        </w:tc>
        <w:tc>
          <w:tcPr>
            <w:tcW w:type="dxa" w:w="108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0.752</w:t>
            </w:r>
          </w:p>
        </w:tc>
        <w:tc>
          <w:tcPr>
            <w:tcW w:type="dxa" w:w="936"/>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0.669</w:t>
            </w:r>
          </w:p>
        </w:tc>
        <w:tc>
          <w:tcPr>
            <w:tcW w:type="dxa" w:w="936"/>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0.717</w:t>
            </w:r>
          </w:p>
        </w:tc>
        <w:tc>
          <w:tcPr>
            <w:tcW w:type="dxa" w:w="1152"/>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0.677</w:t>
            </w:r>
          </w:p>
        </w:tc>
      </w:tr>
      <w:tr>
        <w:trPr>
          <w:cantSplit/>
        </w:trPr>
        <w:tc>
          <w:tcPr>
            <w:tcW w:type="dxa" w:w="2376"/>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LinearSVC</w:t>
            </w:r>
          </w:p>
        </w:tc>
        <w:tc>
          <w:tcPr>
            <w:tcW w:type="dxa" w:w="108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0.620</w:t>
            </w:r>
          </w:p>
        </w:tc>
        <w:tc>
          <w:tcPr>
            <w:tcW w:type="dxa" w:w="108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0.688</w:t>
            </w:r>
          </w:p>
        </w:tc>
        <w:tc>
          <w:tcPr>
            <w:tcW w:type="dxa" w:w="108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0.389</w:t>
            </w:r>
          </w:p>
        </w:tc>
        <w:tc>
          <w:tcPr>
            <w:tcW w:type="dxa" w:w="936"/>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0.497</w:t>
            </w:r>
          </w:p>
        </w:tc>
        <w:tc>
          <w:tcPr>
            <w:tcW w:type="dxa" w:w="936"/>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0.426</w:t>
            </w:r>
          </w:p>
        </w:tc>
        <w:tc>
          <w:tcPr>
            <w:tcW w:type="dxa" w:w="1152"/>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0.695</w:t>
            </w:r>
          </w:p>
        </w:tc>
      </w:tr>
      <w:tr>
        <w:trPr>
          <w:cantSplit/>
        </w:trPr>
        <w:tc>
          <w:tcPr>
            <w:tcW w:type="dxa" w:w="2376"/>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XGBoost</w:t>
            </w:r>
          </w:p>
        </w:tc>
        <w:tc>
          <w:tcPr>
            <w:tcW w:type="dxa" w:w="108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0.526</w:t>
            </w:r>
          </w:p>
        </w:tc>
        <w:tc>
          <w:tcPr>
            <w:tcW w:type="dxa" w:w="108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1.000</w:t>
            </w:r>
          </w:p>
        </w:tc>
        <w:tc>
          <w:tcPr>
            <w:tcW w:type="dxa" w:w="108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0.018</w:t>
            </w:r>
          </w:p>
        </w:tc>
        <w:tc>
          <w:tcPr>
            <w:tcW w:type="dxa" w:w="936"/>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0.035</w:t>
            </w:r>
          </w:p>
        </w:tc>
        <w:tc>
          <w:tcPr>
            <w:tcW w:type="dxa" w:w="936"/>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0.022</w:t>
            </w:r>
          </w:p>
        </w:tc>
        <w:tc>
          <w:tcPr>
            <w:tcW w:type="dxa" w:w="1152"/>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0.616</w:t>
            </w:r>
          </w:p>
        </w:tc>
      </w:tr>
    </w:tbl>
    <w:p>
      <w:pPr>
        <w:spacing w:after="0"/>
      </w:pPr>
    </w:p>
    <w:p>
      <w:r>
        <w:rPr>
          <w:rFonts w:ascii="Times New Roman" w:hAnsi="Times New Roman" w:eastAsia="宋体"/>
          <w:b w:val="0"/>
          <w:color w:val="1F1F1F"/>
          <w:sz w:val="21"/>
        </w:rPr>
        <w:t>跨域实验只使用 Reddit 来源进行训练和阈值选择，再在完全不同的 depression_text_clf 来源上测试。逻辑回归 F2 为 0.7167，明显高于 LinearSVC 的 0.4264 和 XGBoost 的 0.0220。该结果说明树模型和间隔更强的模型虽然在同域上表现突出，但可能过度依赖来源特征。</w:t>
      </w:r>
    </w:p>
    <w:p>
      <w:pPr>
        <w:spacing w:before="80" w:after="120"/>
        <w:ind w:firstLine="0" w:left="227" w:right="227"/>
        <w:shd w:fill="EAF2F7"/>
      </w:pPr>
      <w:r>
        <w:rPr>
          <w:rFonts w:ascii="Times New Roman" w:hAnsi="Times New Roman" w:eastAsia="宋体"/>
          <w:b/>
          <w:color w:val="244A64"/>
          <w:sz w:val="20"/>
        </w:rPr>
        <w:t>跨域下降是本项目最重要的实验结论：同域高分不能证明模型可直接迁移到其他平台、其他人群或真实医疗场景。</w:t>
      </w:r>
    </w:p>
    <w:p>
      <w:r>
        <w:br w:type="page"/>
      </w:r>
    </w:p>
    <w:p>
      <w:pPr>
        <w:pStyle w:val="Heading2"/>
      </w:pPr>
      <w:r>
        <w:t>3.11 错误案例分析</w:t>
      </w:r>
    </w:p>
    <w:p>
      <w:r>
        <w:rPr>
          <w:rFonts w:ascii="Times New Roman" w:hAnsi="Times New Roman" w:eastAsia="宋体"/>
          <w:b w:val="0"/>
          <w:color w:val="1F1F1F"/>
          <w:sz w:val="21"/>
        </w:rPr>
        <w:t>项目将测试集中的误判样本写入 error_cases_test.csv，并按模型分数与阈值的距离排序。高置信度假阳性中包含“流感”“吐血”“止痛药”“输钱”“脑子累”等身体不适、负面体验或口语化表达。这些文本与抑郁语料共享疲惫、痛苦和消极词汇，但其实际语境可能与抑郁无关。</w:t>
      </w:r>
    </w:p>
    <w:p>
      <w:pPr>
        <w:pStyle w:val="Caption"/>
      </w:pPr>
      <w:r>
        <w:rPr>
          <w:rFonts w:ascii="Times New Roman" w:hAnsi="Times New Roman" w:eastAsia="宋体"/>
          <w:b w:val="0"/>
          <w:color w:val="1F1F1F"/>
          <w:sz w:val="19"/>
        </w:rPr>
        <w:t>表 3-11 典型错误类型分析</w:t>
      </w:r>
    </w:p>
    <w:tbl>
      <w:tblPr>
        <w:tblW w:type="auto" w:w="0"/>
        <w:jc w:val="center"/>
        <w:tblLayout w:type="fixed"/>
        <w:tblLook w:firstColumn="1" w:firstRow="1" w:lastColumn="0" w:lastRow="0" w:noHBand="0" w:noVBand="1" w:val="04A0"/>
        <w:tblBorders>
          <w:top w:val="single" w:sz="6" w:color="7F8C95"/>
          <w:left w:val="single" w:sz="6" w:color="7F8C95"/>
          <w:bottom w:val="single" w:sz="6" w:color="7F8C95"/>
          <w:right w:val="single" w:sz="6" w:color="7F8C95"/>
          <w:insideH w:val="single" w:sz="6" w:color="7F8C95"/>
          <w:insideV w:val="single" w:sz="6" w:color="7F8C95"/>
        </w:tblBorders>
      </w:tblPr>
      <w:tblGrid>
        <w:gridCol w:w="2296"/>
        <w:gridCol w:w="2296"/>
        <w:gridCol w:w="2296"/>
        <w:gridCol w:w="2296"/>
      </w:tblGrid>
      <w:tr>
        <w:trPr>
          <w:tblHeader w:val="true"/>
        </w:trPr>
        <w:tc>
          <w:tcPr>
            <w:tcW w:type="dxa" w:w="1728"/>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6"/>
              </w:rPr>
              <w:t>错误类型</w:t>
            </w:r>
          </w:p>
        </w:tc>
        <w:tc>
          <w:tcPr>
            <w:tcW w:type="dxa" w:w="2160"/>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6"/>
              </w:rPr>
              <w:t>示例特征</w:t>
            </w:r>
          </w:p>
        </w:tc>
        <w:tc>
          <w:tcPr>
            <w:tcW w:type="dxa" w:w="2880"/>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6"/>
              </w:rPr>
              <w:t>形成原因</w:t>
            </w:r>
          </w:p>
        </w:tc>
        <w:tc>
          <w:tcPr>
            <w:tcW w:type="dxa" w:w="2880"/>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6"/>
              </w:rPr>
              <w:t>改进方向</w:t>
            </w:r>
          </w:p>
        </w:tc>
      </w:tr>
      <w:tr>
        <w:trPr>
          <w:cantSplit/>
        </w:trPr>
        <w:tc>
          <w:tcPr>
            <w:tcW w:type="dxa" w:w="1728"/>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身体不适误判</w:t>
            </w:r>
          </w:p>
        </w:tc>
        <w:tc>
          <w:tcPr>
            <w:tcW w:type="dxa" w:w="2160"/>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6"/>
              </w:rPr>
              <w:t>flu、blood、opiate、pain</w:t>
            </w:r>
          </w:p>
        </w:tc>
        <w:tc>
          <w:tcPr>
            <w:tcW w:type="dxa" w:w="2880"/>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6"/>
              </w:rPr>
              <w:t>负面身体感受与训练语料中的痛苦表达重合</w:t>
            </w:r>
          </w:p>
        </w:tc>
        <w:tc>
          <w:tcPr>
            <w:tcW w:type="dxa" w:w="2880"/>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6"/>
              </w:rPr>
              <w:t>增加疾病与药物语境数据，使用上下文语义模型</w:t>
            </w:r>
          </w:p>
        </w:tc>
      </w:tr>
      <w:tr>
        <w:trPr>
          <w:cantSplit/>
        </w:trPr>
        <w:tc>
          <w:tcPr>
            <w:tcW w:type="dxa" w:w="1728"/>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日常挫折误判</w:t>
            </w:r>
          </w:p>
        </w:tc>
        <w:tc>
          <w:tcPr>
            <w:tcW w:type="dxa" w:w="216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lost、bad、finance</w:t>
            </w:r>
          </w:p>
        </w:tc>
        <w:tc>
          <w:tcPr>
            <w:tcW w:type="dxa" w:w="288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短文本缺乏上下文，负面词权重过高</w:t>
            </w:r>
          </w:p>
        </w:tc>
        <w:tc>
          <w:tcPr>
            <w:tcW w:type="dxa" w:w="288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加入主题与事件类别特征</w:t>
            </w:r>
          </w:p>
        </w:tc>
      </w:tr>
      <w:tr>
        <w:trPr>
          <w:cantSplit/>
        </w:trPr>
        <w:tc>
          <w:tcPr>
            <w:tcW w:type="dxa" w:w="1728"/>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反讽/口语误判</w:t>
            </w:r>
          </w:p>
        </w:tc>
        <w:tc>
          <w:tcPr>
            <w:tcW w:type="dxa" w:w="216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夸张拼写、俚语、引用</w:t>
            </w:r>
          </w:p>
        </w:tc>
        <w:tc>
          <w:tcPr>
            <w:tcW w:type="dxa" w:w="2880"/>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6"/>
              </w:rPr>
              <w:t>TF-IDF 难以识别说话立场和反讽</w:t>
            </w:r>
          </w:p>
        </w:tc>
        <w:tc>
          <w:tcPr>
            <w:tcW w:type="dxa" w:w="288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使用预训练语言模型与对话上下文</w:t>
            </w:r>
          </w:p>
        </w:tc>
      </w:tr>
      <w:tr>
        <w:trPr>
          <w:cantSplit/>
        </w:trPr>
        <w:tc>
          <w:tcPr>
            <w:tcW w:type="dxa" w:w="1728"/>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跨平台漏检</w:t>
            </w:r>
          </w:p>
        </w:tc>
        <w:tc>
          <w:tcPr>
            <w:tcW w:type="dxa" w:w="216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短句表达、词汇差异</w:t>
            </w:r>
          </w:p>
        </w:tc>
        <w:tc>
          <w:tcPr>
            <w:tcW w:type="dxa" w:w="288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来源长度和语言风格发生变化</w:t>
            </w:r>
          </w:p>
        </w:tc>
        <w:tc>
          <w:tcPr>
            <w:tcW w:type="dxa" w:w="288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6"/>
              </w:rPr>
              <w:t>增加多源训练与来源不变表示</w:t>
            </w:r>
          </w:p>
        </w:tc>
      </w:tr>
    </w:tbl>
    <w:p>
      <w:pPr>
        <w:spacing w:after="0"/>
      </w:pPr>
    </w:p>
    <w:p>
      <w:r>
        <w:rPr>
          <w:rFonts w:ascii="Times New Roman" w:hAnsi="Times New Roman" w:eastAsia="宋体"/>
          <w:b w:val="0"/>
          <w:color w:val="1F1F1F"/>
          <w:sz w:val="21"/>
        </w:rPr>
        <w:t>错误分析进一步说明，模型主要识别语言模式而不是人的真实心理状态。对于引用他人经历、新闻内容、歌词或玩笑，单条文本分类尤其容易产生误解。实际系统必须结合更多上下文、人工复核和明确的使用边界。</w:t>
      </w:r>
    </w:p>
    <w:p>
      <w:pPr>
        <w:pStyle w:val="Heading1"/>
      </w:pPr>
      <w:r>
        <w:t>四、项目展示</w:t>
      </w:r>
    </w:p>
    <w:p>
      <w:pPr>
        <w:pStyle w:val="Heading2"/>
      </w:pPr>
      <w:r>
        <w:t>4.1 图形界面展示</w:t>
      </w:r>
    </w:p>
    <w:p>
      <w:r>
        <w:rPr>
          <w:rFonts w:ascii="Times New Roman" w:hAnsi="Times New Roman" w:eastAsia="宋体"/>
          <w:b w:val="0"/>
          <w:color w:val="1F1F1F"/>
          <w:sz w:val="21"/>
        </w:rPr>
        <w:t>项目使用 Tkinter 构建桌面界面。用户输入英文社交媒体风格文本后，界面检查最短字符数和拉丁字母比例，调用保存的 Pipeline 与 Platt 校准器生成模型阳性分数，并根据阈值显示低、中、高三档。界面同时显示模型版本、适用范围、危机求助提示和词典文本证据。</w:t>
      </w:r>
    </w:p>
    <w:p>
      <w:pPr>
        <w:ind w:firstLine="0"/>
        <w:jc w:val="center"/>
      </w:pPr>
      <w:r>
        <w:drawing>
          <wp:inline xmlns:a="http://schemas.openxmlformats.org/drawingml/2006/main" xmlns:pic="http://schemas.openxmlformats.org/drawingml/2006/picture">
            <wp:extent cx="5623560" cy="3861511"/>
            <wp:docPr id="11" name="Picture 11"/>
            <wp:cNvGraphicFramePr>
              <a:graphicFrameLocks noChangeAspect="1"/>
            </wp:cNvGraphicFramePr>
            <a:graphic>
              <a:graphicData uri="http://schemas.openxmlformats.org/drawingml/2006/picture">
                <pic:pic>
                  <pic:nvPicPr>
                    <pic:cNvPr id="0" name="gui_mock.png"/>
                    <pic:cNvPicPr/>
                  </pic:nvPicPr>
                  <pic:blipFill>
                    <a:blip r:embed="rId25"/>
                    <a:stretch>
                      <a:fillRect/>
                    </a:stretch>
                  </pic:blipFill>
                  <pic:spPr>
                    <a:xfrm>
                      <a:off x="0" y="0"/>
                      <a:ext cx="5623560" cy="3861511"/>
                    </a:xfrm>
                    <a:prstGeom prst="rect"/>
                  </pic:spPr>
                </pic:pic>
              </a:graphicData>
            </a:graphic>
          </wp:inline>
        </w:drawing>
      </w:r>
    </w:p>
    <w:p>
      <w:pPr>
        <w:pStyle w:val="Caption"/>
      </w:pPr>
      <w:r>
        <w:rPr>
          <w:rFonts w:ascii="Times New Roman" w:hAnsi="Times New Roman" w:eastAsia="宋体"/>
          <w:b w:val="0"/>
          <w:color w:val="1F1F1F"/>
          <w:sz w:val="19"/>
        </w:rPr>
        <w:t>图 4-1 抑郁倾向识别平台 GUI 展示</w:t>
      </w:r>
    </w:p>
    <w:p>
      <w:r>
        <w:rPr>
          <w:rFonts w:ascii="Times New Roman" w:hAnsi="Times New Roman" w:eastAsia="宋体"/>
          <w:b w:val="0"/>
          <w:color w:val="1F1F1F"/>
          <w:sz w:val="21"/>
        </w:rPr>
        <w:t>图 4-1 按当前 GUI 字段绘制。示例文本得到较高模型阳性分数，但界面明确说明该分数不是临床概率。词典命中区域也标注为描述性文本证据，而非模型的因果解释。</w:t>
      </w:r>
    </w:p>
    <w:p>
      <w:r>
        <w:br w:type="page"/>
      </w:r>
    </w:p>
    <w:p>
      <w:pPr>
        <w:pStyle w:val="Heading2"/>
      </w:pPr>
      <w:r>
        <w:t>4.2 CSV 批量推理展示</w:t>
      </w:r>
    </w:p>
    <w:p>
      <w:r>
        <w:rPr>
          <w:rFonts w:ascii="Times New Roman" w:hAnsi="Times New Roman" w:eastAsia="宋体"/>
          <w:b w:val="0"/>
          <w:color w:val="1F1F1F"/>
          <w:sz w:val="21"/>
        </w:rPr>
        <w:t>批量推理脚本接收输入和输出路径，可自动匹配 clean_text、text、statement 等常见文本列。输出保留原始字段，并新增以下三列。</w:t>
      </w:r>
    </w:p>
    <w:p>
      <w:pPr>
        <w:pStyle w:val="Caption"/>
      </w:pPr>
      <w:r>
        <w:rPr>
          <w:rFonts w:ascii="Times New Roman" w:hAnsi="Times New Roman" w:eastAsia="宋体"/>
          <w:b w:val="0"/>
          <w:color w:val="1F1F1F"/>
          <w:sz w:val="19"/>
        </w:rPr>
        <w:t>表 4-1 批量推理输出字段</w:t>
      </w:r>
    </w:p>
    <w:tbl>
      <w:tblPr>
        <w:tblW w:type="auto" w:w="0"/>
        <w:jc w:val="center"/>
        <w:tblLayout w:type="fixed"/>
        <w:tblLook w:firstColumn="1" w:firstRow="1" w:lastColumn="0" w:lastRow="0" w:noHBand="0" w:noVBand="1" w:val="04A0"/>
        <w:tblBorders>
          <w:top w:val="single" w:sz="6" w:color="7F8C95"/>
          <w:left w:val="single" w:sz="6" w:color="7F8C95"/>
          <w:bottom w:val="single" w:sz="6" w:color="7F8C95"/>
          <w:right w:val="single" w:sz="6" w:color="7F8C95"/>
          <w:insideH w:val="single" w:sz="6" w:color="7F8C95"/>
          <w:insideV w:val="single" w:sz="6" w:color="7F8C95"/>
        </w:tblBorders>
      </w:tblPr>
      <w:tblGrid>
        <w:gridCol w:w="3062"/>
        <w:gridCol w:w="3062"/>
        <w:gridCol w:w="3062"/>
      </w:tblGrid>
      <w:tr>
        <w:trPr>
          <w:tblHeader w:val="true"/>
        </w:trPr>
        <w:tc>
          <w:tcPr>
            <w:tcW w:type="dxa" w:w="2304"/>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8"/>
              </w:rPr>
              <w:t>字段</w:t>
            </w:r>
          </w:p>
        </w:tc>
        <w:tc>
          <w:tcPr>
            <w:tcW w:type="dxa" w:w="1728"/>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8"/>
              </w:rPr>
              <w:t>类型</w:t>
            </w:r>
          </w:p>
        </w:tc>
        <w:tc>
          <w:tcPr>
            <w:tcW w:type="dxa" w:w="5472"/>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8"/>
              </w:rPr>
              <w:t>说明</w:t>
            </w:r>
          </w:p>
        </w:tc>
      </w:tr>
      <w:tr>
        <w:trPr>
          <w:cantSplit/>
        </w:trPr>
        <w:tc>
          <w:tcPr>
            <w:tcW w:type="dxa" w:w="2304"/>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model_score</w:t>
            </w:r>
          </w:p>
        </w:tc>
        <w:tc>
          <w:tcPr>
            <w:tcW w:type="dxa" w:w="1728"/>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浮点数</w:t>
            </w:r>
          </w:p>
        </w:tc>
        <w:tc>
          <w:tcPr>
            <w:tcW w:type="dxa" w:w="5472"/>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经校准的模型阳性分数，不是医学概率</w:t>
            </w:r>
          </w:p>
        </w:tc>
      </w:tr>
      <w:tr>
        <w:trPr>
          <w:cantSplit/>
        </w:trPr>
        <w:tc>
          <w:tcPr>
            <w:tcW w:type="dxa" w:w="2304"/>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risk_tier</w:t>
            </w:r>
          </w:p>
        </w:tc>
        <w:tc>
          <w:tcPr>
            <w:tcW w:type="dxa" w:w="1728"/>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字符串</w:t>
            </w:r>
          </w:p>
        </w:tc>
        <w:tc>
          <w:tcPr>
            <w:tcW w:type="dxa" w:w="5472"/>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低风险、中风险或高风险</w:t>
            </w:r>
          </w:p>
        </w:tc>
      </w:tr>
      <w:tr>
        <w:trPr>
          <w:cantSplit/>
        </w:trPr>
        <w:tc>
          <w:tcPr>
            <w:tcW w:type="dxa" w:w="2304"/>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model_version</w:t>
            </w:r>
          </w:p>
        </w:tc>
        <w:tc>
          <w:tcPr>
            <w:tcW w:type="dxa" w:w="1728"/>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字符串</w:t>
            </w:r>
          </w:p>
        </w:tc>
        <w:tc>
          <w:tcPr>
            <w:tcW w:type="dxa" w:w="5472"/>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8"/>
              </w:rPr>
              <w:t>训练日期与 Git 修订号组成的模型版本</w:t>
            </w:r>
          </w:p>
        </w:tc>
      </w:tr>
    </w:tbl>
    <w:p>
      <w:pPr>
        <w:spacing w:after="0"/>
      </w:pPr>
    </w:p>
    <w:p>
      <w:pPr>
        <w:spacing w:before="80" w:after="120" w:line="252" w:lineRule="auto"/>
        <w:ind w:firstLine="0" w:left="227" w:right="227"/>
        <w:shd w:fill="F1F3F5"/>
      </w:pPr>
      <w:r>
        <w:rPr>
          <w:rFonts w:ascii="Courier New" w:hAnsi="Courier New" w:eastAsia="等线"/>
          <w:b w:val="0"/>
          <w:color w:val="263238"/>
          <w:sz w:val="17"/>
        </w:rPr>
        <w:t>python scripts/run_infer_csv.py \</w:t>
        <w:br/>
        <w:t xml:space="preserve">  --input data/synthetic_test.csv \</w:t>
        <w:br/>
        <w:t xml:space="preserve">  --output artifacts/predictions.csv</w:t>
        <w:br/>
        <w:br/>
        <w:t>text,status,model_score,risk_tier,model_version</w:t>
        <w:br/>
        <w:t>"i cannot sleep ...",Depression,0.7735,高风险,2026-06-08-0211f561</w:t>
        <w:br/>
        <w:t>"i enjoyed a walk ...",Normal,0.0372,低风险,2026-06-08-0211f561</w:t>
      </w:r>
    </w:p>
    <w:p>
      <w:pPr>
        <w:pStyle w:val="Heading2"/>
      </w:pPr>
      <w:r>
        <w:t>4.3 实验产物与可复现信息</w:t>
      </w:r>
    </w:p>
    <w:p>
      <w:pPr>
        <w:pStyle w:val="Caption"/>
      </w:pPr>
      <w:r>
        <w:rPr>
          <w:rFonts w:ascii="Times New Roman" w:hAnsi="Times New Roman" w:eastAsia="宋体"/>
          <w:b w:val="0"/>
          <w:color w:val="1F1F1F"/>
          <w:sz w:val="19"/>
        </w:rPr>
        <w:t>表 4-2 主要模型产物</w:t>
      </w:r>
    </w:p>
    <w:tbl>
      <w:tblPr>
        <w:tblW w:type="auto" w:w="0"/>
        <w:jc w:val="center"/>
        <w:tblLayout w:type="fixed"/>
        <w:tblLook w:firstColumn="1" w:firstRow="1" w:lastColumn="0" w:lastRow="0" w:noHBand="0" w:noVBand="1" w:val="04A0"/>
        <w:tblBorders>
          <w:top w:val="single" w:sz="6" w:color="7F8C95"/>
          <w:left w:val="single" w:sz="6" w:color="7F8C95"/>
          <w:bottom w:val="single" w:sz="6" w:color="7F8C95"/>
          <w:right w:val="single" w:sz="6" w:color="7F8C95"/>
          <w:insideH w:val="single" w:sz="6" w:color="7F8C95"/>
          <w:insideV w:val="single" w:sz="6" w:color="7F8C95"/>
        </w:tblBorders>
      </w:tblPr>
      <w:tblGrid>
        <w:gridCol w:w="4592"/>
        <w:gridCol w:w="4592"/>
      </w:tblGrid>
      <w:tr>
        <w:trPr>
          <w:tblHeader w:val="true"/>
        </w:trPr>
        <w:tc>
          <w:tcPr>
            <w:tcW w:type="dxa" w:w="3024"/>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7"/>
              </w:rPr>
              <w:t>文件</w:t>
            </w:r>
          </w:p>
        </w:tc>
        <w:tc>
          <w:tcPr>
            <w:tcW w:type="dxa" w:w="6480"/>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7"/>
              </w:rPr>
              <w:t>作用</w:t>
            </w:r>
          </w:p>
        </w:tc>
      </w:tr>
      <w:tr>
        <w:trPr>
          <w:cantSplit/>
        </w:trPr>
        <w:tc>
          <w:tcPr>
            <w:tcW w:type="dxa" w:w="3024"/>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model_pipeline.pkl</w:t>
            </w:r>
          </w:p>
        </w:tc>
        <w:tc>
          <w:tcPr>
            <w:tcW w:type="dxa" w:w="6480"/>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7"/>
              </w:rPr>
              <w:t>包含特征联合、缩放、过采样配置和分类器的统一推理 Pipeline</w:t>
            </w:r>
          </w:p>
        </w:tc>
      </w:tr>
      <w:tr>
        <w:trPr>
          <w:cantSplit/>
        </w:trPr>
        <w:tc>
          <w:tcPr>
            <w:tcW w:type="dxa" w:w="3024"/>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platt_calibrator.pkl</w:t>
            </w:r>
          </w:p>
        </w:tc>
        <w:tc>
          <w:tcPr>
            <w:tcW w:type="dxa" w:w="6480"/>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7"/>
              </w:rPr>
              <w:t>独立验证校准子集拟合的 Platt 校准器</w:t>
            </w:r>
          </w:p>
        </w:tc>
      </w:tr>
      <w:tr>
        <w:trPr>
          <w:cantSplit/>
        </w:trPr>
        <w:tc>
          <w:tcPr>
            <w:tcW w:type="dxa" w:w="3024"/>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risk_thresholds.json</w:t>
            </w:r>
          </w:p>
        </w:tc>
        <w:tc>
          <w:tcPr>
            <w:tcW w:type="dxa" w:w="648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正式分类阈值、风险档位和推导说明</w:t>
            </w:r>
          </w:p>
        </w:tc>
      </w:tr>
      <w:tr>
        <w:trPr>
          <w:cantSplit/>
        </w:trPr>
        <w:tc>
          <w:tcPr>
            <w:tcW w:type="dxa" w:w="3024"/>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metrics.json</w:t>
            </w:r>
          </w:p>
        </w:tc>
        <w:tc>
          <w:tcPr>
            <w:tcW w:type="dxa" w:w="6480"/>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7"/>
              </w:rPr>
              <w:t>验证、同域测试、跨域测试、校准、消融和置信区间</w:t>
            </w:r>
          </w:p>
        </w:tc>
      </w:tr>
      <w:tr>
        <w:trPr>
          <w:cantSplit/>
        </w:trPr>
        <w:tc>
          <w:tcPr>
            <w:tcW w:type="dxa" w:w="3024"/>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model_metadata.json</w:t>
            </w:r>
          </w:p>
        </w:tc>
        <w:tc>
          <w:tcPr>
            <w:tcW w:type="dxa" w:w="6480"/>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7"/>
              </w:rPr>
              <w:t>模型版本、Git 修订、随机种子、依赖版本和数据指纹</w:t>
            </w:r>
          </w:p>
        </w:tc>
      </w:tr>
      <w:tr>
        <w:trPr>
          <w:cantSplit/>
        </w:trPr>
        <w:tc>
          <w:tcPr>
            <w:tcW w:type="dxa" w:w="3024"/>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error_cases_test.csv</w:t>
            </w:r>
          </w:p>
        </w:tc>
        <w:tc>
          <w:tcPr>
            <w:tcW w:type="dxa" w:w="6480"/>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7"/>
              </w:rPr>
              <w:t>测试集假阳性和假阴性错误样本</w:t>
            </w:r>
          </w:p>
        </w:tc>
      </w:tr>
    </w:tbl>
    <w:p>
      <w:pPr>
        <w:spacing w:after="0"/>
      </w:pPr>
    </w:p>
    <w:p>
      <w:r>
        <w:rPr>
          <w:rFonts w:ascii="Times New Roman" w:hAnsi="Times New Roman" w:eastAsia="宋体"/>
          <w:b w:val="0"/>
          <w:color w:val="1F1F1F"/>
          <w:sz w:val="21"/>
        </w:rPr>
        <w:t>当前模型版本为 2026-06-08-0211f561，Git 修订号为 0211f561，随机种子为 42。数据指纹为 c7a288164ab21e23…，用于确认训练数据集合是否发生变化。</w:t>
      </w:r>
    </w:p>
    <w:p>
      <w:pPr>
        <w:pStyle w:val="Heading2"/>
      </w:pPr>
      <w:r>
        <w:t>4.4 测试与验收</w:t>
      </w:r>
    </w:p>
    <w:p>
      <w:r>
        <w:rPr>
          <w:rFonts w:ascii="Times New Roman" w:hAnsi="Times New Roman" w:eastAsia="宋体"/>
          <w:b w:val="0"/>
          <w:color w:val="1F1F1F"/>
          <w:sz w:val="21"/>
        </w:rPr>
        <w:t>项目测试覆盖标签编码、数据自动加载、EMNLP'17 词典统计、SQLite 构建、Platt 校准、风险阈值、OOV 辅助函数、文本指纹切分隔离、Pipeline 序列化和轻量端到端训练。最终共 16 个自动化测试全部通过，pip check 未发现依赖冲突。</w:t>
      </w:r>
    </w:p>
    <w:p>
      <w:pPr>
        <w:pStyle w:val="Caption"/>
      </w:pPr>
      <w:r>
        <w:rPr>
          <w:rFonts w:ascii="Times New Roman" w:hAnsi="Times New Roman" w:eastAsia="宋体"/>
          <w:b w:val="0"/>
          <w:color w:val="1F1F1F"/>
          <w:sz w:val="19"/>
        </w:rPr>
        <w:t>表 4-3 项目验收结果</w:t>
      </w:r>
    </w:p>
    <w:tbl>
      <w:tblPr>
        <w:tblW w:type="auto" w:w="0"/>
        <w:jc w:val="center"/>
        <w:tblLayout w:type="fixed"/>
        <w:tblLook w:firstColumn="1" w:firstRow="1" w:lastColumn="0" w:lastRow="0" w:noHBand="0" w:noVBand="1" w:val="04A0"/>
        <w:tblBorders>
          <w:top w:val="single" w:sz="6" w:color="7F8C95"/>
          <w:left w:val="single" w:sz="6" w:color="7F8C95"/>
          <w:bottom w:val="single" w:sz="6" w:color="7F8C95"/>
          <w:right w:val="single" w:sz="6" w:color="7F8C95"/>
          <w:insideH w:val="single" w:sz="6" w:color="7F8C95"/>
          <w:insideV w:val="single" w:sz="6" w:color="7F8C95"/>
        </w:tblBorders>
      </w:tblPr>
      <w:tblGrid>
        <w:gridCol w:w="4592"/>
        <w:gridCol w:w="4592"/>
      </w:tblGrid>
      <w:tr>
        <w:trPr>
          <w:tblHeader w:val="true"/>
        </w:trPr>
        <w:tc>
          <w:tcPr>
            <w:tcW w:type="dxa" w:w="3311"/>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8"/>
              </w:rPr>
              <w:t>验收项目</w:t>
            </w:r>
          </w:p>
        </w:tc>
        <w:tc>
          <w:tcPr>
            <w:tcW w:type="dxa" w:w="6192"/>
            <w:shd w:fill="DCE8F0"/>
            <w:vAlign w:val="center"/>
            <w:tcMar>
              <w:top w:w="90" w:type="dxa"/>
              <w:start w:w="110" w:type="dxa"/>
              <w:bottom w:w="90" w:type="dxa"/>
              <w:end w:w="110" w:type="dxa"/>
            </w:tcMar>
          </w:tcPr>
          <w:p>
            <w:pPr>
              <w:ind w:firstLine="0"/>
              <w:jc w:val="center"/>
            </w:pPr>
            <w:r>
              <w:rPr>
                <w:rFonts w:ascii="Times New Roman" w:hAnsi="Times New Roman" w:eastAsia="黑体"/>
                <w:b/>
                <w:color w:val="244A64"/>
                <w:sz w:val="18"/>
              </w:rPr>
              <w:t>结果</w:t>
            </w:r>
          </w:p>
        </w:tc>
      </w:tr>
      <w:tr>
        <w:trPr>
          <w:cantSplit/>
        </w:trPr>
        <w:tc>
          <w:tcPr>
            <w:tcW w:type="dxa" w:w="3311"/>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单元与回归测试</w:t>
            </w:r>
          </w:p>
        </w:tc>
        <w:tc>
          <w:tcPr>
            <w:tcW w:type="dxa" w:w="6192"/>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16 passed</w:t>
            </w:r>
          </w:p>
        </w:tc>
      </w:tr>
      <w:tr>
        <w:trPr>
          <w:cantSplit/>
        </w:trPr>
        <w:tc>
          <w:tcPr>
            <w:tcW w:type="dxa" w:w="3311"/>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依赖一致性检查</w:t>
            </w:r>
          </w:p>
        </w:tc>
        <w:tc>
          <w:tcPr>
            <w:tcW w:type="dxa" w:w="6192"/>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8"/>
              </w:rPr>
              <w:t>No broken requirements found</w:t>
            </w:r>
          </w:p>
        </w:tc>
      </w:tr>
      <w:tr>
        <w:trPr>
          <w:cantSplit/>
        </w:trPr>
        <w:tc>
          <w:tcPr>
            <w:tcW w:type="dxa" w:w="3311"/>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切分指纹重叠</w:t>
            </w:r>
          </w:p>
        </w:tc>
        <w:tc>
          <w:tcPr>
            <w:tcW w:type="dxa" w:w="6192"/>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8"/>
              </w:rPr>
              <w:t>train/val/test 两两均为 0</w:t>
            </w:r>
          </w:p>
        </w:tc>
      </w:tr>
      <w:tr>
        <w:trPr>
          <w:cantSplit/>
        </w:trPr>
        <w:tc>
          <w:tcPr>
            <w:tcW w:type="dxa" w:w="3311"/>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单条与批量推理</w:t>
            </w:r>
          </w:p>
        </w:tc>
        <w:tc>
          <w:tcPr>
            <w:tcW w:type="dxa" w:w="6192"/>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8"/>
              </w:rPr>
              <w:t>均可加载同一 Pipeline 正常输出</w:t>
            </w:r>
          </w:p>
        </w:tc>
      </w:tr>
      <w:tr>
        <w:trPr>
          <w:cantSplit/>
        </w:trPr>
        <w:tc>
          <w:tcPr>
            <w:tcW w:type="dxa" w:w="3311"/>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指标与阈值一致性</w:t>
            </w:r>
          </w:p>
        </w:tc>
        <w:tc>
          <w:tcPr>
            <w:tcW w:type="dxa" w:w="6192"/>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8"/>
              </w:rPr>
              <w:t>metrics.json 与 risk_thresholds.json 完全一致</w:t>
            </w:r>
          </w:p>
        </w:tc>
      </w:tr>
      <w:tr>
        <w:trPr>
          <w:cantSplit/>
        </w:trPr>
        <w:tc>
          <w:tcPr>
            <w:tcW w:type="dxa" w:w="3311"/>
            <w:vAlign w:val="center"/>
            <w:tcMar>
              <w:top w:w="65" w:type="dxa"/>
              <w:start w:w="110" w:type="dxa"/>
              <w:bottom w:w="65" w:type="dxa"/>
              <w:end w:w="110" w:type="dxa"/>
            </w:tcMar>
          </w:tcPr>
          <w:p>
            <w:pPr>
              <w:spacing w:line="269" w:lineRule="auto" w:after="0"/>
              <w:ind w:firstLine="0"/>
              <w:jc w:val="center"/>
            </w:pPr>
            <w:r>
              <w:rPr>
                <w:rFonts w:ascii="Times New Roman" w:hAnsi="Times New Roman" w:eastAsia="宋体"/>
                <w:b w:val="0"/>
                <w:color w:val="1F1F1F"/>
                <w:sz w:val="18"/>
              </w:rPr>
              <w:t>完整实验</w:t>
            </w:r>
          </w:p>
        </w:tc>
        <w:tc>
          <w:tcPr>
            <w:tcW w:type="dxa" w:w="6192"/>
            <w:vAlign w:val="center"/>
            <w:tcMar>
              <w:top w:w="65" w:type="dxa"/>
              <w:start w:w="110" w:type="dxa"/>
              <w:bottom w:w="65" w:type="dxa"/>
              <w:end w:w="110" w:type="dxa"/>
            </w:tcMar>
          </w:tcPr>
          <w:p>
            <w:pPr>
              <w:spacing w:line="269" w:lineRule="auto" w:after="0"/>
              <w:ind w:firstLine="0"/>
              <w:jc w:val="left"/>
            </w:pPr>
            <w:r>
              <w:rPr>
                <w:rFonts w:ascii="Times New Roman" w:hAnsi="Times New Roman" w:eastAsia="宋体"/>
                <w:b w:val="0"/>
                <w:color w:val="1F1F1F"/>
                <w:sz w:val="18"/>
              </w:rPr>
              <w:t>模型比较、消融、跨域和图表均成功生成</w:t>
            </w:r>
          </w:p>
        </w:tc>
      </w:tr>
    </w:tbl>
    <w:p>
      <w:pPr>
        <w:spacing w:after="0"/>
      </w:pPr>
    </w:p>
    <w:p>
      <w:r>
        <w:br w:type="page"/>
      </w:r>
    </w:p>
    <w:p>
      <w:pPr>
        <w:pStyle w:val="Heading2"/>
      </w:pPr>
      <w:r>
        <w:t>4.5 项目局限与后续改进</w:t>
      </w:r>
    </w:p>
    <w:p>
      <w:pPr>
        <w:numPr>
          <w:ilvl w:val="0"/>
          <w:numId w:val="12"/>
        </w:numPr>
        <w:spacing w:after="60" w:line="324" w:lineRule="auto"/>
      </w:pPr>
      <w:r>
        <w:rPr>
          <w:rFonts w:ascii="Times New Roman" w:hAnsi="Times New Roman" w:eastAsia="宋体"/>
          <w:b w:val="0"/>
          <w:color w:val="1F1F1F"/>
          <w:sz w:val="21"/>
        </w:rPr>
        <w:t>数据标签不等同于临床诊断，且不同来源的标注规则存在差异。后续应引入更明确的标注协议和人工复核。</w:t>
      </w:r>
    </w:p>
    <w:p>
      <w:pPr>
        <w:numPr>
          <w:ilvl w:val="0"/>
          <w:numId w:val="12"/>
        </w:numPr>
        <w:spacing w:after="60" w:line="324" w:lineRule="auto"/>
      </w:pPr>
      <w:r>
        <w:rPr>
          <w:rFonts w:ascii="Times New Roman" w:hAnsi="Times New Roman" w:eastAsia="宋体"/>
          <w:b w:val="0"/>
          <w:color w:val="1F1F1F"/>
          <w:sz w:val="21"/>
        </w:rPr>
        <w:t>当前跨域测试来源只有一个可用短文本数据集，sentiment 与 Urdu 来源因文件缺失被跳过，跨域结论仍需更多数据验证。</w:t>
      </w:r>
    </w:p>
    <w:p>
      <w:pPr>
        <w:numPr>
          <w:ilvl w:val="0"/>
          <w:numId w:val="12"/>
        </w:numPr>
        <w:spacing w:after="60" w:line="324" w:lineRule="auto"/>
      </w:pPr>
      <w:r>
        <w:rPr>
          <w:rFonts w:ascii="Times New Roman" w:hAnsi="Times New Roman" w:eastAsia="宋体"/>
          <w:b w:val="0"/>
          <w:color w:val="1F1F1F"/>
          <w:sz w:val="21"/>
        </w:rPr>
        <w:t>TF-IDF 对反讽、否定范围、引用和长距离语义理解有限，可增加 MiniLM 或其他预训练语言模型作为对照。</w:t>
      </w:r>
    </w:p>
    <w:p>
      <w:pPr>
        <w:numPr>
          <w:ilvl w:val="0"/>
          <w:numId w:val="12"/>
        </w:numPr>
        <w:spacing w:after="60" w:line="324" w:lineRule="auto"/>
      </w:pPr>
      <w:r>
        <w:rPr>
          <w:rFonts w:ascii="Times New Roman" w:hAnsi="Times New Roman" w:eastAsia="宋体"/>
          <w:b w:val="0"/>
          <w:color w:val="1F1F1F"/>
          <w:sz w:val="21"/>
        </w:rPr>
        <w:t>风险档位是课程展示功能，缺少临床验证。后续不得直接将其用于医疗分诊、人员筛选或自动处罚。</w:t>
      </w:r>
    </w:p>
    <w:p>
      <w:pPr>
        <w:numPr>
          <w:ilvl w:val="0"/>
          <w:numId w:val="12"/>
        </w:numPr>
        <w:spacing w:after="60" w:line="324" w:lineRule="auto"/>
      </w:pPr>
      <w:r>
        <w:rPr>
          <w:rFonts w:ascii="Times New Roman" w:hAnsi="Times New Roman" w:eastAsia="宋体"/>
          <w:b w:val="0"/>
          <w:color w:val="1F1F1F"/>
          <w:sz w:val="21"/>
        </w:rPr>
        <w:t>GUI 目前为单机 Tkinter 应用，可增加历史记录、结果导出和可访问性设计，但应优先考虑本地隐私保护。</w:t>
      </w:r>
    </w:p>
    <w:p>
      <w:pPr>
        <w:numPr>
          <w:ilvl w:val="0"/>
          <w:numId w:val="12"/>
        </w:numPr>
        <w:spacing w:after="60" w:line="324" w:lineRule="auto"/>
      </w:pPr>
      <w:r>
        <w:rPr>
          <w:rFonts w:ascii="Times New Roman" w:hAnsi="Times New Roman" w:eastAsia="宋体"/>
          <w:b w:val="0"/>
          <w:color w:val="1F1F1F"/>
          <w:sz w:val="21"/>
        </w:rPr>
        <w:t>模型公平性尚未按年龄、性别、文化背景等群体评估，未来需要在合法、匿名和有授权的数据上开展偏差分析。</w:t>
      </w:r>
    </w:p>
    <w:p>
      <w:pPr>
        <w:pStyle w:val="Heading2"/>
      </w:pPr>
      <w:r>
        <w:t>4.6 项目总结</w:t>
      </w:r>
    </w:p>
    <w:p>
      <w:r>
        <w:rPr>
          <w:rFonts w:ascii="Times New Roman" w:hAnsi="Times New Roman" w:eastAsia="宋体"/>
          <w:b w:val="0"/>
          <w:color w:val="1F1F1F"/>
          <w:sz w:val="21"/>
        </w:rPr>
        <w:t>本组完成了一个从数据到应用的英文心理健康文本机器学习课程项目。系统不仅实现了传统文本分类模型和桌面界面，还针对常见课程项目中容易忽视的数据泄漏、重复样本、阈值复用和跨域泛化问题进行了改进。</w:t>
      </w:r>
    </w:p>
    <w:p>
      <w:r>
        <w:rPr>
          <w:rFonts w:ascii="Times New Roman" w:hAnsi="Times New Roman" w:eastAsia="宋体"/>
          <w:b w:val="0"/>
          <w:color w:val="1F1F1F"/>
          <w:sz w:val="21"/>
        </w:rPr>
        <w:t>实验表明，LinearSVC、随机森林和 XGBoost 在同域验证集上可以取得很高指标，但逻辑回归在跨数据源场景中更稳健，因此被选为最终模型。该结果体现了模型选择不能只看单一测试分数，也说明诚实报告局限性比追求表面高分更重要。</w:t>
      </w:r>
    </w:p>
    <w:p>
      <w:r>
        <w:rPr>
          <w:rFonts w:ascii="Times New Roman" w:hAnsi="Times New Roman" w:eastAsia="宋体"/>
          <w:b w:val="0"/>
          <w:color w:val="1F1F1F"/>
          <w:sz w:val="21"/>
        </w:rPr>
        <w:t>通过本次课程设计，团队掌握了 Python 数据处理、机器学习 Pipeline、文本特征工程、模型评估、SQLite、Tkinter、版本化产物和自动化测试等技术，并形成了面向伦理敏感任务的基本工程意识。</w:t>
      </w:r>
    </w:p>
    <w:p>
      <w:pPr>
        <w:pStyle w:val="Heading1"/>
      </w:pPr>
      <w:r>
        <w:t>参考文献</w:t>
      </w:r>
    </w:p>
    <w:p>
      <w:pPr>
        <w:spacing w:line="324" w:lineRule="auto" w:after="80"/>
        <w:ind w:firstLine="0" w:left="397"/>
      </w:pPr>
      <w:r>
        <w:rPr>
          <w:rFonts w:ascii="Times New Roman" w:hAnsi="Times New Roman" w:eastAsia="宋体"/>
          <w:b w:val="0"/>
          <w:color w:val="1F1F1F"/>
          <w:sz w:val="19"/>
        </w:rPr>
        <w:t>[1] Salton G, Buckley C. Term-weighting approaches in automatic text retrieval[J]. Information Processing &amp; Management, 1988, 24(5): 513-523.</w:t>
      </w:r>
    </w:p>
    <w:p>
      <w:pPr>
        <w:spacing w:line="324" w:lineRule="auto" w:after="80"/>
        <w:ind w:firstLine="0" w:left="397"/>
      </w:pPr>
      <w:r>
        <w:rPr>
          <w:rFonts w:ascii="Times New Roman" w:hAnsi="Times New Roman" w:eastAsia="宋体"/>
          <w:b w:val="0"/>
          <w:color w:val="1F1F1F"/>
          <w:sz w:val="19"/>
        </w:rPr>
        <w:t>[2] Cortes C, Vapnik V. Support-vector networks[J]. Machine Learning, 1995, 20: 273-297.</w:t>
      </w:r>
    </w:p>
    <w:p>
      <w:pPr>
        <w:spacing w:line="324" w:lineRule="auto" w:after="80"/>
        <w:ind w:firstLine="0" w:left="397"/>
      </w:pPr>
      <w:r>
        <w:rPr>
          <w:rFonts w:ascii="Times New Roman" w:hAnsi="Times New Roman" w:eastAsia="宋体"/>
          <w:b w:val="0"/>
          <w:color w:val="1F1F1F"/>
          <w:sz w:val="19"/>
        </w:rPr>
        <w:t>[3] Hutto C J, Gilbert E. VADER: A parsimonious rule-based model for sentiment analysis of social media text[C]//Proceedings of ICWSM. 2014.</w:t>
      </w:r>
    </w:p>
    <w:p>
      <w:pPr>
        <w:spacing w:line="324" w:lineRule="auto" w:after="80"/>
        <w:ind w:firstLine="0" w:left="397"/>
      </w:pPr>
      <w:r>
        <w:rPr>
          <w:rFonts w:ascii="Times New Roman" w:hAnsi="Times New Roman" w:eastAsia="宋体"/>
          <w:b w:val="0"/>
          <w:color w:val="1F1F1F"/>
          <w:sz w:val="19"/>
        </w:rPr>
        <w:t>[4] Platt J. Probabilistic outputs for support vector machines and comparisons to regularized likelihood methods[M]//Advances in Large Margin Classifiers. 1999.</w:t>
      </w:r>
    </w:p>
    <w:p>
      <w:pPr>
        <w:spacing w:line="324" w:lineRule="auto" w:after="80"/>
        <w:ind w:firstLine="0" w:left="397"/>
      </w:pPr>
      <w:r>
        <w:rPr>
          <w:rFonts w:ascii="Times New Roman" w:hAnsi="Times New Roman" w:eastAsia="宋体"/>
          <w:b w:val="0"/>
          <w:color w:val="1F1F1F"/>
          <w:sz w:val="19"/>
        </w:rPr>
        <w:t>[5] Pedregosa F, Varoquaux G, Gramfort A, et al. Scikit-learn: Machine learning in Python[J]. Journal of Machine Learning Research, 2011, 12: 2825-2830.</w:t>
      </w:r>
    </w:p>
    <w:p>
      <w:pPr>
        <w:spacing w:line="324" w:lineRule="auto" w:after="80"/>
        <w:ind w:firstLine="0" w:left="397"/>
      </w:pPr>
      <w:r>
        <w:rPr>
          <w:rFonts w:ascii="Times New Roman" w:hAnsi="Times New Roman" w:eastAsia="宋体"/>
          <w:b w:val="0"/>
          <w:color w:val="1F1F1F"/>
          <w:sz w:val="19"/>
        </w:rPr>
        <w:t>[6] Chen T, Guestrin C. XGBoost: A scalable tree boosting system[C]//Proceedings of KDD. 2016: 785-794.</w:t>
      </w:r>
    </w:p>
    <w:p>
      <w:pPr>
        <w:spacing w:line="324" w:lineRule="auto" w:after="80"/>
        <w:ind w:firstLine="0" w:left="397"/>
      </w:pPr>
      <w:r>
        <w:rPr>
          <w:rFonts w:ascii="Times New Roman" w:hAnsi="Times New Roman" w:eastAsia="宋体"/>
          <w:b w:val="0"/>
          <w:color w:val="1F1F1F"/>
          <w:sz w:val="19"/>
        </w:rPr>
        <w:t>[7] Georgetown-IR-Lab. emnlp17-depression: Reddit depression detection resources[EB/OL]. https://github.com/Georgetown-IR-Lab/emnlp17-depression.</w:t>
      </w:r>
    </w:p>
    <w:p>
      <w:pPr>
        <w:spacing w:line="324" w:lineRule="auto" w:after="80"/>
        <w:ind w:firstLine="0" w:left="397"/>
      </w:pPr>
      <w:r>
        <w:rPr>
          <w:rFonts w:ascii="Times New Roman" w:hAnsi="Times New Roman" w:eastAsia="宋体"/>
          <w:b w:val="0"/>
          <w:color w:val="1F1F1F"/>
          <w:sz w:val="19"/>
        </w:rPr>
        <w:t>[8] Lemaître G, Nogueira F, Aridas C K. Imbalanced-learn: A Python toolbox to tackle the curse of imbalanced datasets in machine learning[J]. Journal of Machine Learning Research, 2017, 18(17): 1-5.</w:t>
      </w:r>
    </w:p>
    <w:p>
      <w:pPr>
        <w:spacing w:line="324" w:lineRule="auto" w:after="80"/>
        <w:ind w:firstLine="0" w:left="397"/>
      </w:pPr>
      <w:r>
        <w:rPr>
          <w:rFonts w:ascii="Times New Roman" w:hAnsi="Times New Roman" w:eastAsia="宋体"/>
          <w:b w:val="0"/>
          <w:color w:val="1F1F1F"/>
          <w:sz w:val="19"/>
        </w:rPr>
        <w:t>[9] Priyangshu Mukherjee. Mental Health Text Classification Dataset[DB/OL]. Kaggle.</w:t>
      </w:r>
    </w:p>
    <w:p>
      <w:pPr>
        <w:spacing w:line="324" w:lineRule="auto" w:after="80"/>
        <w:ind w:firstLine="0" w:left="397"/>
      </w:pPr>
      <w:r>
        <w:rPr>
          <w:rFonts w:ascii="Times New Roman" w:hAnsi="Times New Roman" w:eastAsia="宋体"/>
          <w:b w:val="0"/>
          <w:color w:val="1F1F1F"/>
          <w:sz w:val="19"/>
        </w:rPr>
        <w:t>[10] Maaz Kareem. Sentiment and Mental Health Dataset (Reddit-Based)[DB/OL]. Kaggle.</w:t>
      </w:r>
    </w:p>
    <w:p>
      <w:pPr>
        <w:spacing w:line="324" w:lineRule="auto" w:after="80"/>
        <w:ind w:firstLine="0" w:left="397"/>
      </w:pPr>
      <w:r>
        <w:rPr>
          <w:rFonts w:ascii="Times New Roman" w:hAnsi="Times New Roman" w:eastAsia="宋体"/>
          <w:b w:val="0"/>
          <w:color w:val="1F1F1F"/>
          <w:sz w:val="19"/>
        </w:rPr>
        <w:t>[11] SQLite Consortium. SQLite Documentation[EB/OL]. https://www.sqlite.org/docs.html.</w:t>
      </w:r>
    </w:p>
    <w:p>
      <w:pPr>
        <w:spacing w:line="324" w:lineRule="auto" w:after="80"/>
        <w:ind w:firstLine="0" w:left="397"/>
      </w:pPr>
      <w:r>
        <w:rPr>
          <w:rFonts w:ascii="Times New Roman" w:hAnsi="Times New Roman" w:eastAsia="宋体"/>
          <w:b w:val="0"/>
          <w:color w:val="1F1F1F"/>
          <w:sz w:val="19"/>
        </w:rPr>
        <w:t>[12] Python Software Foundation. tkinter - Python interface to Tcl/Tk[EB/OL]. https://docs.python.org/3/library/tkinter.html.</w:t>
      </w:r>
    </w:p>
    <w:sectPr w:rsidR="00FC693F" w:rsidRPr="0006063C" w:rsidSect="00034616">
      <w:headerReference w:type="default" r:id="rId14"/>
      <w:footerReference w:type="default" r:id="rId15"/>
      <w:pgSz w:w="11906" w:h="16838"/>
      <w:pgMar w:top="1361" w:right="1304" w:bottom="1247" w:left="1417" w:header="680" w:footer="68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宋体"/>
        <w:b w:val="0"/>
        <w:color w:val="666666"/>
        <w:sz w:val="18"/>
      </w:rPr>
      <w:t xml:space="preserve">— </w:t>
    </w:r>
    <w:r>
      <w:fldChar w:fldCharType="begin"/>
      <w:instrText xml:space="preserve">PAGE</w:instrText>
      <w:fldChar w:fldCharType="separate"/>
      <w:t>1</w:t>
      <w:fldChar w:fldCharType="end"/>
    </w:r>
    <w:r>
      <w:rPr>
        <w:rFonts w:ascii="Times New Roman" w:hAnsi="Times New Roman" w:eastAsia="宋体"/>
        <w:b w:val="0"/>
        <w:color w:val="666666"/>
        <w:sz w:val="18"/>
      </w:rPr>
      <w:t xml:space="preserve"> —</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宋体"/>
        <w:b w:val="0"/>
        <w:color w:val="666666"/>
        <w:sz w:val="18"/>
      </w:rPr>
      <w:t xml:space="preserve">— </w:t>
    </w:r>
    <w:r>
      <w:fldChar w:fldCharType="begin"/>
      <w:instrText xml:space="preserve">PAGE</w:instrText>
      <w:fldChar w:fldCharType="separate"/>
      <w:t>1</w:t>
      <w:fldChar w:fldCharType="end"/>
    </w:r>
    <w:r>
      <w:rPr>
        <w:rFonts w:ascii="Times New Roman" w:hAnsi="Times New Roman" w:eastAsia="宋体"/>
        <w:b w:val="0"/>
        <w:color w:val="666666"/>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2" w:color="A0A0A0"/>
      </w:pBdr>
    </w:pPr>
    <w:r/>
    <w:r>
      <w:rPr>
        <w:rFonts w:ascii="Times New Roman" w:hAnsi="Times New Roman" w:eastAsia="宋体"/>
        <w:b w:val="0"/>
        <w:color w:val="666666"/>
        <w:sz w:val="18"/>
      </w:rPr>
      <w:t>Python 应用开发基础 · 抑郁倾向识别平台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720"/>
        </w:tabs>
        <w:ind w:left="720" w:hanging="360"/>
      </w:pPr>
    </w:lvl>
  </w:abstractNum>
  <w:num w:numId="10">
    <w:abstractNumId w:val="9"/>
  </w:num>
  <w:abstractNum w:abstractNumId="10">
    <w:multiLevelType w:val="singleLevel"/>
    <w:lvl w:ilvl="0">
      <w:start w:val="1"/>
      <w:numFmt w:val="decimal"/>
      <w:lvlText w:val="%1."/>
      <w:suff w:val="tab"/>
      <w:pPr>
        <w:tabs>
          <w:tab w:val="num" w:pos="720"/>
        </w:tabs>
        <w:ind w:left="720" w:hanging="360"/>
      </w:pPr>
    </w:lvl>
  </w:abstractNum>
  <w:num w:numId="11">
    <w:abstractNumId w:val="10"/>
  </w:num>
  <w:abstractNum w:abstractNumId="11">
    <w:multiLevelType w:val="singleLevel"/>
    <w:lvl w:ilvl="0">
      <w:start w:val="1"/>
      <w:numFmt w:val="decimal"/>
      <w:lvlText w:val="%1."/>
      <w:suff w:val="tab"/>
      <w:pPr>
        <w:tabs>
          <w:tab w:val="num" w:pos="720"/>
        </w:tabs>
        <w:ind w:left="720" w:hanging="36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20"/>
      <w:jc w:val="both"/>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jc w:val="left"/>
      <w:outlineLvl w:val="0"/>
    </w:pPr>
    <w:rPr>
      <w:rFonts w:asciiTheme="majorHAnsi" w:eastAsiaTheme="majorEastAsia" w:hAnsiTheme="majorHAnsi" w:cstheme="majorBidi" w:ascii="Arial" w:hAnsi="Arial" w:eastAsia="黑体"/>
      <w:b/>
      <w:bCs/>
      <w:color w:val="1F1F1F"/>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eastAsia="黑体"/>
      <w:b/>
      <w:bCs/>
      <w:color w:val="1F1F1F"/>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黑体"/>
      <w:b/>
      <w:bCs/>
      <w:color w:val="1F1F1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00" w:after="140"/>
      <w:jc w:val="center"/>
    </w:pPr>
    <w:rPr>
      <w:rFonts w:ascii="Times New Roman" w:hAnsi="Times New Roman" w:eastAsia="宋体"/>
      <w:b/>
      <w:bCs/>
      <w:color w:val="1F1F1F"/>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抑郁倾向识别平台课程设计报告</dc:title>
  <dc:subject>Python 应用开发基础课程设计</dc:subject>
  <dc:creator>任冉、萧准</dc:creator>
  <cp:keywords>Python, 机器学习, 自然语言处理, TF-IDF, 课程设计</cp:keywords>
  <dc:description>generated by python-docx</dc:description>
  <cp:lastModifiedBy/>
  <cp:revision>1</cp:revision>
  <dcterms:created xsi:type="dcterms:W3CDTF">2013-12-23T23:15:00Z</dcterms:created>
  <dcterms:modified xsi:type="dcterms:W3CDTF">2013-12-23T23:15:00Z</dcterms:modified>
  <cp:category/>
</cp:coreProperties>
</file>