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eastAsia="宋体"/>
          <w:sz w:val="21"/>
        </w:rPr>
        <w:t xml:space="preserve">2026 年第三季度重点工作安排</w:t>
      </w:r>
    </w:p>
    <w:p>
      <w:r>
        <w:rPr>
          <w:rFonts w:ascii="Calibri" w:eastAsia="宋体"/>
          <w:sz w:val="21"/>
        </w:rPr>
        <w:t xml:space="preserve">一、持续推进产品线的功能迭代与稳定性建设，按季度里程碑完成验收。</w:t>
      </w:r>
    </w:p>
    <w:p>
      <w:r>
        <w:rPr>
          <w:rFonts w:ascii="Calibri" w:eastAsia="宋体"/>
          <w:sz w:val="21"/>
        </w:rPr>
        <w:t xml:space="preserve">二、加强跨部门协作机制，建立周例会与月度复盘制度，及时同步进展与风险。</w:t>
      </w:r>
    </w:p>
    <w:p>
      <w:r>
        <w:rPr>
          <w:rFonts w:ascii="Calibri" w:eastAsia="宋体"/>
          <w:sz w:val="21"/>
        </w:rPr>
        <w:t xml:space="preserve">三、落实数据安全与合规要求，定期开展内部培训与自查，完善应急预案。</w:t>
      </w:r>
    </w:p>
    <w:p>
      <w:r>
        <w:rPr>
          <w:rFonts w:ascii="Calibri" w:eastAsia="宋体"/>
          <w:sz w:val="21"/>
        </w:rPr>
        <w:t xml:space="preserve">四、优化资源调配与成本控制，合理规划人力和预算，保障重点项目按期交付。</w:t>
      </w:r>
    </w:p>
    <w:sectPr>
      <w:pgSz w:w="11906" w:h="16838"/>
      <w:pgMar w:top="1440" w:right="1440" w:bottom="1440" w:left="1440"/>
    </w:sectPr>
  </w:body>
</w:document>
</file>