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60"/>
      </w:pPr>
      <w:r>
        <w:rPr>
          <w:rFonts w:ascii="Arial" w:cs="Arial" w:eastAsia="Arial" w:hAnsi="Arial"/>
          <w:b/>
          <w:bCs/>
          <w:color w:val="1F3864"/>
          <w:sz w:val="32"/>
          <w:szCs w:val="32"/>
        </w:rPr>
        <w:t xml:space="preserve">READ ME FIRST — what is in this folder and how to use it</w:t>
      </w:r>
    </w:p>
    <w:p>
      <w:pPr>
        <w:spacing w:after="220" w:before="0"/>
      </w:pPr>
      <w:r>
        <w:rPr>
          <w:rFonts w:ascii="Arial" w:cs="Arial" w:eastAsia="Arial" w:hAnsi="Arial"/>
          <w:b w:val="false"/>
          <w:bCs w:val="false"/>
          <w:i/>
          <w:iCs/>
          <w:color w:val="555555"/>
          <w:sz w:val="21"/>
          <w:szCs w:val="21"/>
        </w:rPr>
        <w:t xml:space="preserve">WASEC warm-leads project · written for whoever takes this over · no data or coding knowledge assumed</w:t>
      </w:r>
    </w:p>
    <w:p>
      <w:pPr>
        <w:spacing w:after="200" w:before="0"/>
      </w:pPr>
      <w:r>
        <w:rPr>
          <w:rFonts w:ascii="Arial" w:cs="Arial" w:eastAsia="Arial" w:hAnsi="Arial"/>
          <w:b w:val="false"/>
          <w:bCs w:val="false"/>
          <w:i w:val="false"/>
          <w:iCs w:val="false"/>
          <w:color w:val="20242C"/>
          <w:sz w:val="21"/>
          <w:szCs w:val="21"/>
        </w:rPr>
        <w:t xml:space="preserve">This folder contains everything from the procurement lead-filtering project: the current list of opportunities for WASEC members, and the machinery to produce a fresh list whenever new data is collected. This page explains every file in plain language, then tells you which file to reach for depending on what you want to do.</w:t>
      </w:r>
    </w:p>
    <w:p>
      <w:pPr>
        <w:pStyle w:val="Heading2"/>
        <w:spacing w:after="120" w:before="280"/>
      </w:pPr>
      <w:r>
        <w:rPr>
          <w:rFonts w:ascii="Arial" w:cs="Arial" w:eastAsia="Arial" w:hAnsi="Arial"/>
          <w:b/>
          <w:bCs/>
          <w:color w:val="1F3864"/>
          <w:sz w:val="24"/>
          <w:szCs w:val="24"/>
        </w:rPr>
        <w:t xml:space="preserve">1. Three ideas in plain words (read this once)</w:t>
      </w:r>
    </w:p>
    <w:p>
      <w:pPr>
        <w:spacing w:after="130" w:before="0"/>
      </w:pPr>
      <w:r>
        <w:rPr>
          <w:rFonts w:ascii="Arial" w:cs="Arial" w:eastAsia="Arial" w:hAnsi="Arial"/>
          <w:b/>
          <w:bCs/>
          <w:i w:val="false"/>
          <w:iCs w:val="false"/>
          <w:color w:val="20242C"/>
          <w:sz w:val="21"/>
          <w:szCs w:val="21"/>
        </w:rPr>
        <w:t xml:space="preserve">The database is a filing cabinet. </w:t>
      </w:r>
      <w:r>
        <w:rPr>
          <w:rFonts w:ascii="Arial" w:cs="Arial" w:eastAsia="Arial" w:hAnsi="Arial"/>
          <w:b w:val="false"/>
          <w:bCs w:val="false"/>
          <w:i w:val="false"/>
          <w:iCs w:val="false"/>
          <w:color w:val="20242C"/>
          <w:sz w:val="21"/>
          <w:szCs w:val="21"/>
        </w:rPr>
        <w:t xml:space="preserve">All the collected tender information (687 opportunities, plus the capability profiles of 79 WASEC members) lives in a program called PostgreSQL on a computer — think of it as a very organised filing cabinet. The file ending in .backup is the entire cabinet packed into a single file, so it can be moved to another computer and unpacked there.</w:t>
      </w:r>
    </w:p>
    <w:p>
      <w:pPr>
        <w:spacing w:after="130" w:before="0"/>
      </w:pPr>
      <w:r>
        <w:rPr>
          <w:rFonts w:ascii="Arial" w:cs="Arial" w:eastAsia="Arial" w:hAnsi="Arial"/>
          <w:b/>
          <w:bCs/>
          <w:i w:val="false"/>
          <w:iCs w:val="false"/>
          <w:color w:val="20242C"/>
          <w:sz w:val="21"/>
          <w:szCs w:val="21"/>
        </w:rPr>
        <w:t xml:space="preserve">The engine is a sorting machine. </w:t>
      </w:r>
      <w:r>
        <w:rPr>
          <w:rFonts w:ascii="Arial" w:cs="Arial" w:eastAsia="Arial" w:hAnsi="Arial"/>
          <w:b w:val="false"/>
          <w:bCs w:val="false"/>
          <w:i w:val="false"/>
          <w:iCs w:val="false"/>
          <w:color w:val="20242C"/>
          <w:sz w:val="21"/>
          <w:szCs w:val="21"/>
        </w:rPr>
        <w:t xml:space="preserve">The file ending in .sql is a set of instructions that sorts all 687 opportunities automatically: it throws out the expired, the duplicated, the out-of-state and the unsuitable, and keeps 48 worth a person's attention. It took three weeks of trial and error to teach it what to throw out; every lesson is written inside it.</w:t>
      </w:r>
    </w:p>
    <w:p>
      <w:pPr>
        <w:spacing w:after="130" w:before="0"/>
      </w:pPr>
      <w:r>
        <w:rPr>
          <w:rFonts w:ascii="Arial" w:cs="Arial" w:eastAsia="Arial" w:hAnsi="Arial"/>
          <w:b/>
          <w:bCs/>
          <w:i w:val="false"/>
          <w:iCs w:val="false"/>
          <w:color w:val="20242C"/>
          <w:sz w:val="21"/>
          <w:szCs w:val="21"/>
        </w:rPr>
        <w:t xml:space="preserve">Every list is a photo, and photos go stale. </w:t>
      </w:r>
      <w:r>
        <w:rPr>
          <w:rFonts w:ascii="Arial" w:cs="Arial" w:eastAsia="Arial" w:hAnsi="Arial"/>
          <w:b w:val="false"/>
          <w:bCs w:val="false"/>
          <w:i w:val="false"/>
          <w:iCs w:val="false"/>
          <w:color w:val="20242C"/>
          <w:sz w:val="21"/>
          <w:szCs w:val="21"/>
        </w:rPr>
        <w:t xml:space="preserve">The Excel file and the web page show the situation on 11 July 2026. Deadlines in them pass. A fresh list is not the old file updating itself — it is a new photo, taken by running the machine again on newly collected data.</w:t>
      </w:r>
    </w:p>
    <w:p>
      <w:pPr>
        <w:pStyle w:val="Heading2"/>
        <w:spacing w:after="120" w:before="280"/>
      </w:pPr>
      <w:r>
        <w:rPr>
          <w:rFonts w:ascii="Arial" w:cs="Arial" w:eastAsia="Arial" w:hAnsi="Arial"/>
          <w:b/>
          <w:bCs/>
          <w:color w:val="1F3864"/>
          <w:sz w:val="24"/>
          <w:szCs w:val="24"/>
        </w:rPr>
        <w:t xml:space="preserve">2. The files, one by one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900"/>
      </w:tblGrid>
      <w:tr>
        <w:tc>
          <w:tcPr>
            <w:tcW w:type="dxa" w:w="29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W w:type="dxa" w:w="33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What it is</w:t>
            </w:r>
          </w:p>
        </w:tc>
        <w:tc>
          <w:tcPr>
            <w:tcW w:type="dxa" w:w="29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How you use it</w:t>
            </w:r>
          </w:p>
        </w:tc>
      </w:tr>
      <w:tr>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warm_list_A.docx</w:t>
            </w:r>
          </w:p>
        </w:tc>
        <w:tc>
          <w:tcPr>
            <w:tcW w:type="dxa" w:w="33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Two-page summary of the whole project: what was found, what to act on, what was ruled out, what to be careful of.</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Read this first. Five minutes.</w:t>
            </w:r>
          </w:p>
        </w:tc>
      </w:tr>
      <w:tr>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WASEC_warm_leads_v6_1_workbook_20260711.xlsx</w:t>
            </w:r>
          </w:p>
        </w:tc>
        <w:tc>
          <w:tcPr>
            <w:tcW w:type="dxa" w:w="33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The current list as an Excel workbook. Four tabs: Overview, the 30-lead Queue, the 18 ICN login-wall records, and Method &amp; Limits. Colours: green = checked and good to go, blue = future opportunity, red = checked and ruled out.</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Double-click to open. Use the filter arrows in the column headers to view by industry, status or tier.</w:t>
            </w:r>
          </w:p>
        </w:tc>
      </w:tr>
      <w:tr>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WASEC_warm_leads_v6_1_web_view_20260711.html</w:t>
            </w:r>
          </w:p>
        </w:tc>
        <w:tc>
          <w:tcPr>
            <w:tcW w:type="dxa" w:w="33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The same list as a web page. Every lead links to its official tender page. Internal working copy — not for sending straight to members.</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Double-click; it opens in your browser. No internet or installation needed.</w:t>
            </w:r>
          </w:p>
        </w:tc>
      </w:tr>
      <w:tr>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wasec_filter_v6_1_COMPLETE.sql</w:t>
            </w:r>
          </w:p>
        </w:tc>
        <w:tc>
          <w:tcPr>
            <w:tcW w:type="dxa" w:w="33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The sorting machine itself — the complete filtering instructions, with comments explaining why each rule exists.</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You never open this to read it. It gets run inside pgAdmin (the database program) when a fresh list is needed. The Runbook shows how.</w:t>
            </w:r>
          </w:p>
        </w:tc>
      </w:tr>
      <w:tr>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WASEC_v6_1_RUNBOOK.md</w:t>
            </w:r>
          </w:p>
        </w:tc>
        <w:tc>
          <w:tcPr>
            <w:tcW w:type="dxa" w:w="33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The recipe: how to restore the database on a new computer, how to run the machine on new data, what checks to read afterwards, and the known blind spots.</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Open with any text editor or Word. Follow it step by step when producing a fresh list.</w:t>
            </w:r>
          </w:p>
        </w:tc>
      </w:tr>
      <w:tr>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WASEC_master_opportunities_schema.md</w:t>
            </w:r>
          </w:p>
        </w:tc>
        <w:tc>
          <w:tcPr>
            <w:tcW w:type="dxa" w:w="33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The data specification: exactly what columns newly collected data must have for the machine to accept it.</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Give this to whoever rebuilds the data collection — it is their requirements list.</w:t>
            </w:r>
          </w:p>
        </w:tc>
      </w:tr>
      <w:tr>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build_web_view.py</w:t>
            </w:r>
          </w:p>
        </w:tc>
        <w:tc>
          <w:tcPr>
            <w:tcW w:type="dxa" w:w="33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A small robot that turns the exported list into the web page automatically.</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Run with one command (shown inside the file and in the Runbook). Needs a computer with Python — most have it, and it is a free install if not.</w:t>
            </w:r>
          </w:p>
        </w:tc>
      </w:tr>
      <w:tr>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wasec_handover_3tables_*.backup</w:t>
            </w:r>
          </w:p>
        </w:tc>
        <w:tc>
          <w:tcPr>
            <w:tcW w:type="dxa" w:w="33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The filing cabinet: all 687 opportunities, the 79 member capability profiles (this exists nowhere else!), and the human verification decisions.</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Restore it in pgAdmin (Runbook section 10 gives the five clicks). Keep a safe copy.</w:t>
            </w:r>
          </w:p>
        </w:tc>
      </w:tr>
    </w:tbl>
    <w:p>
      <w:pPr>
        <w:pStyle w:val="Heading2"/>
        <w:spacing w:after="120" w:before="280"/>
      </w:pPr>
      <w:r>
        <w:rPr>
          <w:rFonts w:ascii="Arial" w:cs="Arial" w:eastAsia="Arial" w:hAnsi="Arial"/>
          <w:b/>
          <w:bCs/>
          <w:color w:val="1F3864"/>
          <w:sz w:val="24"/>
          <w:szCs w:val="24"/>
        </w:rPr>
        <w:t xml:space="preserve">3. “I want to…” — which file to reach for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50"/>
        <w:gridCol w:w="5550"/>
      </w:tblGrid>
      <w:tr>
        <w:tc>
          <w:tcPr>
            <w:tcW w:type="dxa" w:w="355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 want to…</w:t>
            </w:r>
          </w:p>
        </w:tc>
        <w:tc>
          <w:tcPr>
            <w:tcW w:type="dxa" w:w="555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Do this</w:t>
            </w:r>
          </w:p>
        </w:tc>
      </w:tr>
      <w:tr>
        <w:tc>
          <w:tcPr>
            <w:tcW w:type="dxa" w:w="3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See the current opportunities</w:t>
            </w:r>
          </w:p>
        </w:tc>
        <w:tc>
          <w:tcPr>
            <w:tcW w:type="dxa" w:w="5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Open the web page or the Excel file. Ten seconds.</w:t>
            </w:r>
          </w:p>
        </w:tc>
      </w:tr>
      <w:tr>
        <w:tc>
          <w:tcPr>
            <w:tcW w:type="dxa" w:w="3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Send an opportunity to a member</w:t>
            </w:r>
          </w:p>
        </w:tc>
        <w:tc>
          <w:tcPr>
            <w:tcW w:type="dxa" w:w="5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Only ever send leads individually, never the whole list. Green (Verified) rows can go after a quick re-check of the link. For any other row: open its link first and check it is still open, has no compulsory briefing that already happened, and no licence requirement we cannot meet.</w:t>
            </w:r>
          </w:p>
        </w:tc>
      </w:tr>
      <w:tr>
        <w:tc>
          <w:tcPr>
            <w:tcW w:type="dxa" w:w="3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Know why something was ruled out</w:t>
            </w:r>
          </w:p>
        </w:tc>
        <w:tc>
          <w:tcPr>
            <w:tcW w:type="dxa" w:w="5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Every kept lead shows its reason in the list. The full record of exclusions stays in the database (table final_excluded_archived_v6_1) with a written reason on every row.</w:t>
            </w:r>
          </w:p>
        </w:tc>
      </w:tr>
      <w:tr>
        <w:tc>
          <w:tcPr>
            <w:tcW w:type="dxa" w:w="3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Update member information</w:t>
            </w:r>
          </w:p>
        </w:tc>
        <w:tc>
          <w:tcPr>
            <w:tcW w:type="dxa" w:w="5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Member capabilities live in the database table member_capabilities. Edit the rows there (add, remove, or change a member), then re-run the machine — no code changes needed.</w:t>
            </w:r>
          </w:p>
        </w:tc>
      </w:tr>
      <w:tr>
        <w:tc>
          <w:tcPr>
            <w:tcW w:type="dxa" w:w="3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Produce a fresh list</w:t>
            </w:r>
          </w:p>
        </w:tc>
        <w:tc>
          <w:tcPr>
            <w:tcW w:type="dxa" w:w="5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Follow the Runbook: collect new data (section 9 explains rebuilding collection), load it, run the .sql file, export, verify against the live pages, and run build_web_view.py for the new page. Budget: a day of a technically comfortable person's time, plus the verification round.</w:t>
            </w:r>
          </w:p>
        </w:tc>
      </w:tr>
      <w:tr>
        <w:tc>
          <w:tcPr>
            <w:tcW w:type="dxa" w:w="3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bCs/>
                <w:color w:val="20242C"/>
                <w:sz w:val="19"/>
                <w:szCs w:val="19"/>
              </w:rPr>
              <w:t xml:space="preserve">Set everything up on a new computer</w:t>
            </w:r>
          </w:p>
        </w:tc>
        <w:tc>
          <w:tcPr>
            <w:tcW w:type="dxa" w:w="5550"/>
            <w:tcBorders>
              <w:top w:val="single" w:color="D9D9D9" w:sz="4"/>
              <w:left w:val="single" w:color="D9D9D9" w:sz="4"/>
              <w:bottom w:val="single" w:color="D9D9D9" w:sz="4"/>
              <w:right w:val="single" w:color="D9D9D9" w:sz="4"/>
            </w:tcBorders>
            <w:tcMar>
              <w:top w:type="dxa" w:w="70"/>
              <w:left w:type="dxa" w:w="100"/>
              <w:bottom w:type="dxa" w:w="70"/>
              <w:right w:type="dxa" w:w="100"/>
            </w:tcMar>
          </w:tcPr>
          <w:p>
            <w:r>
              <w:rPr>
                <w:rFonts w:ascii="Arial" w:cs="Arial" w:eastAsia="Arial" w:hAnsi="Arial"/>
                <w:b w:val="false"/>
                <w:bCs w:val="false"/>
                <w:color w:val="20242C"/>
                <w:sz w:val="19"/>
                <w:szCs w:val="19"/>
              </w:rPr>
              <w:t xml:space="preserve">Runbook section 10: install PostgreSQL, restore the .backup file (five clicks), run the .sql file once. You are then exactly where the project left off.</w:t>
            </w:r>
          </w:p>
        </w:tc>
      </w:tr>
    </w:tbl>
    <w:p>
      <w:pPr>
        <w:pStyle w:val="Heading2"/>
        <w:spacing w:after="120" w:before="280"/>
      </w:pPr>
      <w:r>
        <w:rPr>
          <w:rFonts w:ascii="Arial" w:cs="Arial" w:eastAsia="Arial" w:hAnsi="Arial"/>
          <w:b/>
          <w:bCs/>
          <w:color w:val="1F3864"/>
          <w:sz w:val="24"/>
          <w:szCs w:val="24"/>
        </w:rPr>
        <w:t xml:space="preserve">4. What needs a technical person, and what does not</w:t>
      </w:r>
    </w:p>
    <w:p>
      <w:pPr>
        <w:pStyle w:val="ListParagraph"/>
        <w:numPr>
          <w:ilvl w:val="0"/>
          <w:numId w:val="2"/>
        </w:numPr>
        <w:spacing w:after="130" w:before="0"/>
      </w:pPr>
      <w:r>
        <w:rPr>
          <w:rFonts w:ascii="Arial" w:cs="Arial" w:eastAsia="Arial" w:hAnsi="Arial"/>
          <w:b/>
          <w:bCs/>
          <w:i w:val="false"/>
          <w:iCs w:val="false"/>
          <w:color w:val="20242C"/>
          <w:sz w:val="21"/>
          <w:szCs w:val="21"/>
        </w:rPr>
        <w:t xml:space="preserve">No technical skill needed: </w:t>
      </w:r>
      <w:r>
        <w:rPr>
          <w:rFonts w:ascii="Arial" w:cs="Arial" w:eastAsia="Arial" w:hAnsi="Arial"/>
          <w:b w:val="false"/>
          <w:bCs w:val="false"/>
          <w:i w:val="false"/>
          <w:iCs w:val="false"/>
          <w:color w:val="20242C"/>
          <w:sz w:val="21"/>
          <w:szCs w:val="21"/>
        </w:rPr>
        <w:t xml:space="preserve">reading every list and document, deciding which member gets which lead, checking a lead against its official page, and requesting the ICN Gateway account.</w:t>
      </w:r>
    </w:p>
    <w:p>
      <w:pPr>
        <w:pStyle w:val="ListParagraph"/>
        <w:numPr>
          <w:ilvl w:val="0"/>
          <w:numId w:val="2"/>
        </w:numPr>
        <w:spacing w:after="130" w:before="0"/>
      </w:pPr>
      <w:r>
        <w:rPr>
          <w:rFonts w:ascii="Arial" w:cs="Arial" w:eastAsia="Arial" w:hAnsi="Arial"/>
          <w:b/>
          <w:bCs/>
          <w:i w:val="false"/>
          <w:iCs w:val="false"/>
          <w:color w:val="20242C"/>
          <w:sz w:val="21"/>
          <w:szCs w:val="21"/>
        </w:rPr>
        <w:t xml:space="preserve">Comfortable-with-computers person (not a programmer): </w:t>
      </w:r>
      <w:r>
        <w:rPr>
          <w:rFonts w:ascii="Arial" w:cs="Arial" w:eastAsia="Arial" w:hAnsi="Arial"/>
          <w:b w:val="false"/>
          <w:bCs w:val="false"/>
          <w:i w:val="false"/>
          <w:iCs w:val="false"/>
          <w:color w:val="20242C"/>
          <w:sz w:val="21"/>
          <w:szCs w:val="21"/>
        </w:rPr>
        <w:t xml:space="preserve">restoring the backup, running the .sql file in pgAdmin, exporting the list, running the web-page robot. The Runbook was written so this level of skill is enough — roughly half a day the first time.</w:t>
      </w:r>
    </w:p>
    <w:p>
      <w:pPr>
        <w:pStyle w:val="ListParagraph"/>
        <w:numPr>
          <w:ilvl w:val="0"/>
          <w:numId w:val="2"/>
        </w:numPr>
        <w:spacing w:after="130" w:before="0"/>
      </w:pPr>
      <w:r>
        <w:rPr>
          <w:rFonts w:ascii="Arial" w:cs="Arial" w:eastAsia="Arial" w:hAnsi="Arial"/>
          <w:b/>
          <w:bCs/>
          <w:i w:val="false"/>
          <w:iCs w:val="false"/>
          <w:color w:val="20242C"/>
          <w:sz w:val="21"/>
          <w:szCs w:val="21"/>
        </w:rPr>
        <w:t xml:space="preserve">A developer (or an AI coding assistant): </w:t>
      </w:r>
      <w:r>
        <w:rPr>
          <w:rFonts w:ascii="Arial" w:cs="Arial" w:eastAsia="Arial" w:hAnsi="Arial"/>
          <w:b w:val="false"/>
          <w:bCs w:val="false"/>
          <w:i w:val="false"/>
          <w:iCs w:val="false"/>
          <w:color w:val="20242C"/>
          <w:sz w:val="21"/>
          <w:szCs w:val="21"/>
        </w:rPr>
        <w:t xml:space="preserve">rebuilding the data collection scripts. The originals were not retained, but the schema document is a complete requirements list — an afternoon’s work to recreate.</w:t>
      </w:r>
    </w:p>
    <w:p>
      <w:pPr>
        <w:pStyle w:val="Heading2"/>
        <w:spacing w:after="120" w:before="280"/>
      </w:pPr>
      <w:r>
        <w:rPr>
          <w:rFonts w:ascii="Arial" w:cs="Arial" w:eastAsia="Arial" w:hAnsi="Arial"/>
          <w:b/>
          <w:bCs/>
          <w:color w:val="1F3864"/>
          <w:sz w:val="24"/>
          <w:szCs w:val="24"/>
        </w:rPr>
        <w:t xml:space="preserve">5. Five rules that must not be skipped</w:t>
      </w:r>
    </w:p>
    <w:p>
      <w:pPr>
        <w:spacing w:after="130" w:before="0"/>
      </w:pPr>
      <w:r>
        <w:rPr>
          <w:rFonts w:ascii="Arial" w:cs="Arial" w:eastAsia="Arial" w:hAnsi="Arial"/>
          <w:b/>
          <w:bCs/>
          <w:i w:val="false"/>
          <w:iCs w:val="false"/>
          <w:color w:val="20242C"/>
          <w:sz w:val="21"/>
          <w:szCs w:val="21"/>
        </w:rPr>
        <w:t xml:space="preserve">1. A person checks every lead before it reaches a member. </w:t>
      </w:r>
      <w:r>
        <w:rPr>
          <w:rFonts w:ascii="Arial" w:cs="Arial" w:eastAsia="Arial" w:hAnsi="Arial"/>
          <w:b w:val="false"/>
          <w:bCs w:val="false"/>
          <w:i w:val="false"/>
          <w:iCs w:val="false"/>
          <w:color w:val="20242C"/>
          <w:sz w:val="21"/>
          <w:szCs w:val="21"/>
        </w:rPr>
        <w:t xml:space="preserve">The machine cannot see compulsory briefings that already happened, licence requirements, or tenders that closed after our data was collected. Human checks changed 10 of 16 machine verdicts on this data. This step is part of the process, not optional quality control.</w:t>
      </w:r>
    </w:p>
    <w:p>
      <w:pPr>
        <w:spacing w:after="130" w:before="0"/>
      </w:pPr>
      <w:r>
        <w:rPr>
          <w:rFonts w:ascii="Arial" w:cs="Arial" w:eastAsia="Arial" w:hAnsi="Arial"/>
          <w:b/>
          <w:bCs/>
          <w:i w:val="false"/>
          <w:iCs w:val="false"/>
          <w:color w:val="20242C"/>
          <w:sz w:val="21"/>
          <w:szCs w:val="21"/>
        </w:rPr>
        <w:t xml:space="preserve">2. The “possible member fits” number is a first guess, never a conclusion. </w:t>
      </w:r>
      <w:r>
        <w:rPr>
          <w:rFonts w:ascii="Arial" w:cs="Arial" w:eastAsia="Arial" w:hAnsi="Arial"/>
          <w:b w:val="false"/>
          <w:bCs w:val="false"/>
          <w:i w:val="false"/>
          <w:iCs w:val="false"/>
          <w:color w:val="20242C"/>
          <w:sz w:val="21"/>
          <w:szCs w:val="21"/>
        </w:rPr>
        <w:t xml:space="preserve">It over-counts. Confirm a member’s real capability before contacting them.</w:t>
      </w:r>
    </w:p>
    <w:p>
      <w:pPr>
        <w:spacing w:after="130" w:before="0"/>
      </w:pPr>
      <w:r>
        <w:rPr>
          <w:rFonts w:ascii="Arial" w:cs="Arial" w:eastAsia="Arial" w:hAnsi="Arial"/>
          <w:b/>
          <w:bCs/>
          <w:i w:val="false"/>
          <w:iCs w:val="false"/>
          <w:color w:val="20242C"/>
          <w:sz w:val="21"/>
          <w:szCs w:val="21"/>
        </w:rPr>
        <w:t xml:space="preserve">3. The list goes stale. </w:t>
      </w:r>
      <w:r>
        <w:rPr>
          <w:rFonts w:ascii="Arial" w:cs="Arial" w:eastAsia="Arial" w:hAnsi="Arial"/>
          <w:b w:val="false"/>
          <w:bCs w:val="false"/>
          <w:i w:val="false"/>
          <w:iCs w:val="false"/>
          <w:color w:val="20242C"/>
          <w:sz w:val="21"/>
          <w:szCs w:val="21"/>
        </w:rPr>
        <w:t xml:space="preserve">Check the snapshot date at the top of any list before acting on it.</w:t>
      </w:r>
    </w:p>
    <w:p>
      <w:pPr>
        <w:spacing w:after="130" w:before="0"/>
      </w:pPr>
      <w:r>
        <w:rPr>
          <w:rFonts w:ascii="Arial" w:cs="Arial" w:eastAsia="Arial" w:hAnsi="Arial"/>
          <w:b/>
          <w:bCs/>
          <w:i w:val="false"/>
          <w:iCs w:val="false"/>
          <w:color w:val="20242C"/>
          <w:sz w:val="21"/>
          <w:szCs w:val="21"/>
        </w:rPr>
        <w:t xml:space="preserve">4. Guard the backup file. </w:t>
      </w:r>
      <w:r>
        <w:rPr>
          <w:rFonts w:ascii="Arial" w:cs="Arial" w:eastAsia="Arial" w:hAnsi="Arial"/>
          <w:b w:val="false"/>
          <w:bCs w:val="false"/>
          <w:i w:val="false"/>
          <w:iCs w:val="false"/>
          <w:color w:val="20242C"/>
          <w:sz w:val="21"/>
          <w:szCs w:val="21"/>
        </w:rPr>
        <w:t xml:space="preserve">The 79 member capability profiles inside it exist nowhere else.</w:t>
      </w:r>
    </w:p>
    <w:p>
      <w:pPr>
        <w:spacing w:after="130" w:before="0"/>
      </w:pPr>
      <w:r>
        <w:rPr>
          <w:rFonts w:ascii="Arial" w:cs="Arial" w:eastAsia="Arial" w:hAnsi="Arial"/>
          <w:b/>
          <w:bCs/>
          <w:i w:val="false"/>
          <w:iCs w:val="false"/>
          <w:color w:val="20242C"/>
          <w:sz w:val="21"/>
          <w:szCs w:val="21"/>
        </w:rPr>
        <w:t xml:space="preserve">5. Change filtering rules only on repeated evidence. </w:t>
      </w:r>
      <w:r>
        <w:rPr>
          <w:rFonts w:ascii="Arial" w:cs="Arial" w:eastAsia="Arial" w:hAnsi="Arial"/>
          <w:b w:val="false"/>
          <w:bCs w:val="false"/>
          <w:i w:val="false"/>
          <w:iCs w:val="false"/>
          <w:color w:val="20242C"/>
          <w:sz w:val="21"/>
          <w:szCs w:val="21"/>
        </w:rPr>
        <w:t xml:space="preserve">Every rule in the machine exists because of at least two real mistakes it prevents, and each rule’s evidence is written beside it. One odd example is not a reason to change a rule; a pattern is.</w:t>
      </w:r>
    </w:p>
    <w:p>
      <w:pPr>
        <w:spacing w:after="130" w:before="200"/>
      </w:pPr>
      <w:r>
        <w:rPr>
          <w:rFonts w:ascii="Arial" w:cs="Arial" w:eastAsia="Arial" w:hAnsi="Arial"/>
          <w:b w:val="false"/>
          <w:bCs w:val="false"/>
          <w:i w:val="false"/>
          <w:iCs w:val="false"/>
          <w:color w:val="20242C"/>
          <w:sz w:val="21"/>
          <w:szCs w:val="21"/>
        </w:rPr>
        <w:t xml:space="preserve"/>
      </w:r>
    </w:p>
    <w:p>
      <w:pPr>
        <w:spacing w:after="130" w:before="0"/>
      </w:pPr>
      <w:r>
        <w:rPr>
          <w:rFonts w:ascii="Arial" w:cs="Arial" w:eastAsia="Arial" w:hAnsi="Arial"/>
          <w:b w:val="false"/>
          <w:bCs w:val="false"/>
          <w:i/>
          <w:iCs/>
          <w:color w:val="555555"/>
          <w:sz w:val="21"/>
          <w:szCs w:val="21"/>
        </w:rPr>
        <w:t xml:space="preserve">Questions this page doesn’t answer are probably answered in the Runbook. Questions the Runbook doesn’t answer are probably answered by comments inside the .sql file itself — every rule explains its own history.</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2026-07-12T09:56:53.345Z</dcterms:created>
  <dcterms:modified xsi:type="dcterms:W3CDTF">2026-07-12T09:56:53.368Z</dcterms:modified>
</cp:coreProperties>
</file>

<file path=docProps/custom.xml><?xml version="1.0" encoding="utf-8"?>
<Properties xmlns="http://schemas.openxmlformats.org/officeDocument/2006/custom-properties" xmlns:vt="http://schemas.openxmlformats.org/officeDocument/2006/docPropsVTypes"/>
</file>