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AF30BD" w:rsidP="00AF30BD">
      <w:pPr>
        <w:widowControl/>
        <w:autoSpaceDE/>
        <w:autoSpaceDN/>
        <w:adjustRightInd/>
        <w:ind w:firstLine="720"/>
        <w:rPr>
          <w:sz w:val="20"/>
          <w:szCs w:val="20"/>
        </w:rPr>
      </w:pPr>
    </w:p>
    <w:p w:rsidR="00067090">
      <w:pPr>
        <w:widowControl/>
        <w:autoSpaceDE/>
        <w:autoSpaceDN/>
        <w:adjustRightInd/>
        <w:jc w:val="center"/>
        <w:rPr>
          <w:rFonts w:ascii="TimesDL" w:hAnsi="TimesDL"/>
        </w:rPr>
      </w:pPr>
      <w:r>
        <w:rPr>
          <w:rFonts w:ascii="TimesDL" w:hAnsi="TimesDL"/>
          <w:noProof/>
        </w:rPr>
        <w:drawing>
          <wp:inline distT="0" distB="0" distL="0" distR="0">
            <wp:extent cx="499745" cy="60325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090">
      <w:pPr>
        <w:widowControl/>
        <w:autoSpaceDE/>
        <w:autoSpaceDN/>
        <w:adjustRightInd/>
        <w:jc w:val="center"/>
        <w:rPr>
          <w:rFonts w:ascii="TimesDL" w:hAnsi="TimesDL"/>
          <w:sz w:val="6"/>
          <w:szCs w:val="6"/>
        </w:rPr>
      </w:pPr>
    </w:p>
    <w:p w:rsidR="00067090">
      <w:pPr>
        <w:widowControl/>
        <w:autoSpaceDE/>
        <w:autoSpaceDN/>
        <w:adjustRightInd/>
        <w:jc w:val="center"/>
        <w:rPr>
          <w:rFonts w:ascii="TimesDL" w:hAnsi="TimesDL"/>
          <w:color w:val="2F5496"/>
          <w:sz w:val="6"/>
          <w:szCs w:val="6"/>
        </w:rPr>
      </w:pPr>
    </w:p>
    <w:p w:rsidR="00067090">
      <w:pPr>
        <w:widowControl/>
        <w:autoSpaceDE/>
        <w:autoSpaceDN/>
        <w:adjustRightInd/>
        <w:jc w:val="center"/>
        <w:rPr>
          <w:rFonts w:ascii="TimesDL" w:hAnsi="TimesDL"/>
          <w:color w:val="2F5496"/>
          <w:sz w:val="22"/>
          <w:szCs w:val="20"/>
        </w:rPr>
      </w:pPr>
      <w:r>
        <w:rPr>
          <w:rFonts w:ascii="TimesDL" w:hAnsi="TimesDL"/>
          <w:color w:val="2F5496"/>
          <w:sz w:val="22"/>
          <w:szCs w:val="20"/>
        </w:rPr>
        <w:t>ПРАВИТЕЛЬСТВО МОСКВЫ</w:t>
      </w:r>
    </w:p>
    <w:p w:rsidR="00067090">
      <w:pPr>
        <w:widowControl/>
        <w:autoSpaceDE/>
        <w:autoSpaceDN/>
        <w:adjustRightInd/>
        <w:spacing w:line="80" w:lineRule="exact"/>
        <w:jc w:val="center"/>
        <w:rPr>
          <w:rFonts w:ascii="TimesDL" w:hAnsi="TimesDL"/>
          <w:color w:val="2F5496"/>
          <w:sz w:val="16"/>
          <w:szCs w:val="20"/>
        </w:rPr>
      </w:pPr>
    </w:p>
    <w:p w:rsidR="00067090">
      <w:pPr>
        <w:widowControl/>
        <w:autoSpaceDE/>
        <w:autoSpaceDN/>
        <w:adjustRightInd/>
        <w:jc w:val="center"/>
        <w:rPr>
          <w:b/>
          <w:color w:val="2F5496"/>
        </w:rPr>
      </w:pPr>
      <w:r>
        <w:rPr>
          <w:b/>
          <w:color w:val="2F5496"/>
        </w:rPr>
        <w:t xml:space="preserve">ГОСУДАРСТВЕННАЯ ИНСПЕКЦИЯ ПО КОНТРОЛЮ </w:t>
      </w:r>
    </w:p>
    <w:p w:rsidR="00067090">
      <w:pPr>
        <w:widowControl/>
        <w:autoSpaceDE/>
        <w:autoSpaceDN/>
        <w:adjustRightInd/>
        <w:jc w:val="center"/>
        <w:rPr>
          <w:b/>
          <w:color w:val="2F5496"/>
        </w:rPr>
      </w:pPr>
      <w:r>
        <w:rPr>
          <w:b/>
          <w:color w:val="2F5496"/>
        </w:rPr>
        <w:t>ЗА ИСПОЛЬЗОВАНИЕМ ОБЪЕКТОВ НЕДВИЖИМОСТИ ГОРОДА МОСКВЫ</w:t>
      </w:r>
    </w:p>
    <w:p w:rsidR="00067090">
      <w:pPr>
        <w:widowControl/>
        <w:autoSpaceDE/>
        <w:autoSpaceDN/>
        <w:adjustRightInd/>
        <w:jc w:val="center"/>
        <w:rPr>
          <w:rFonts w:ascii="TimesDL" w:hAnsi="TimesDL"/>
          <w:b/>
          <w:color w:val="2F5496"/>
        </w:rPr>
      </w:pPr>
      <w:r>
        <w:rPr>
          <w:b/>
          <w:color w:val="2F5496"/>
        </w:rPr>
        <w:t>(ГОСИНСПЕКЦИЯ ПО НЕДВИЖИМОСТИ)</w:t>
      </w:r>
    </w:p>
    <w:p w:rsidR="00067090">
      <w:pPr>
        <w:widowControl/>
        <w:autoSpaceDE/>
        <w:autoSpaceDN/>
        <w:adjustRightInd/>
        <w:jc w:val="center"/>
        <w:rPr>
          <w:rFonts w:ascii="TimesDL" w:hAnsi="TimesDL"/>
          <w:b/>
          <w:color w:val="2F5496"/>
          <w:sz w:val="16"/>
          <w:szCs w:val="16"/>
        </w:rPr>
      </w:pPr>
    </w:p>
    <w:p w:rsidR="00067090">
      <w:pPr>
        <w:widowControl/>
        <w:tabs>
          <w:tab w:val="right" w:pos="10206"/>
        </w:tabs>
        <w:autoSpaceDE/>
        <w:autoSpaceDN/>
        <w:adjustRightInd/>
        <w:rPr>
          <w:color w:val="2F5496"/>
          <w:sz w:val="20"/>
          <w:szCs w:val="20"/>
        </w:rPr>
      </w:pPr>
      <w:r>
        <w:rPr>
          <w:rFonts w:ascii="TimesDL" w:hAnsi="TimesDL"/>
          <w:color w:val="2F5496"/>
          <w:sz w:val="20"/>
          <w:szCs w:val="20"/>
        </w:rPr>
        <w:t>Лубянский пр., д.3/6, стр.6, Москва, 101000</w:t>
      </w:r>
      <w:r>
        <w:rPr>
          <w:rFonts w:ascii="Calibri" w:hAnsi="Calibri"/>
          <w:color w:val="2F5496"/>
          <w:sz w:val="20"/>
          <w:szCs w:val="20"/>
        </w:rPr>
        <w:tab/>
      </w:r>
      <w:r>
        <w:rPr>
          <w:rFonts w:ascii="TimesDL" w:hAnsi="TimesDL"/>
          <w:color w:val="2F5496"/>
          <w:sz w:val="20"/>
          <w:szCs w:val="20"/>
          <w:lang w:val="en-US"/>
        </w:rPr>
        <w:t>E</w:t>
      </w:r>
      <w:r>
        <w:rPr>
          <w:rFonts w:ascii="TimesDL" w:hAnsi="TimesDL"/>
          <w:color w:val="2F5496"/>
          <w:sz w:val="20"/>
          <w:szCs w:val="20"/>
        </w:rPr>
        <w:t>-</w:t>
      </w:r>
      <w:r>
        <w:rPr>
          <w:rFonts w:ascii="TimesDL" w:hAnsi="TimesDL"/>
          <w:color w:val="2F5496"/>
          <w:sz w:val="20"/>
          <w:szCs w:val="20"/>
          <w:lang w:val="en-US"/>
        </w:rPr>
        <w:t>mail</w:t>
      </w:r>
      <w:r>
        <w:rPr>
          <w:rFonts w:ascii="TimesDL" w:hAnsi="TimesDL"/>
          <w:color w:val="2F5496"/>
          <w:sz w:val="20"/>
          <w:szCs w:val="20"/>
        </w:rPr>
        <w:t>:</w:t>
      </w:r>
      <w:r>
        <w:rPr>
          <w:rFonts w:ascii="Calibri" w:hAnsi="Calibri"/>
          <w:color w:val="2F5496"/>
          <w:sz w:val="22"/>
          <w:szCs w:val="22"/>
        </w:rPr>
        <w:t xml:space="preserve"> </w:t>
      </w:r>
      <w:r>
        <w:fldChar w:fldCharType="begin"/>
      </w:r>
      <w:r>
        <w:instrText xml:space="preserve"> HYPERLINK "mailto:GIN@mos.ru" </w:instrText>
      </w:r>
      <w:r>
        <w:fldChar w:fldCharType="separate"/>
      </w:r>
      <w:r>
        <w:rPr>
          <w:color w:val="2F5496"/>
          <w:sz w:val="20"/>
          <w:szCs w:val="20"/>
        </w:rPr>
        <w:t>GIN@</w:t>
      </w:r>
      <w:r>
        <w:rPr>
          <w:rFonts w:ascii="TimesDL" w:hAnsi="TimesDL"/>
          <w:color w:val="2F5496"/>
          <w:sz w:val="20"/>
          <w:szCs w:val="20"/>
          <w:lang w:val="en-US"/>
        </w:rPr>
        <w:t>mos</w:t>
      </w:r>
      <w:r>
        <w:rPr>
          <w:rFonts w:ascii="TimesDL" w:hAnsi="TimesDL"/>
          <w:color w:val="2F5496"/>
          <w:sz w:val="20"/>
          <w:szCs w:val="20"/>
        </w:rPr>
        <w:t>.</w:t>
      </w:r>
      <w:r>
        <w:rPr>
          <w:rFonts w:ascii="TimesDL" w:hAnsi="TimesDL"/>
          <w:color w:val="2F5496"/>
          <w:sz w:val="20"/>
          <w:szCs w:val="20"/>
          <w:lang w:val="en-US"/>
        </w:rPr>
        <w:t>ru</w:t>
      </w:r>
      <w:r>
        <w:fldChar w:fldCharType="end"/>
      </w:r>
    </w:p>
    <w:p w:rsidR="00067090">
      <w:pPr>
        <w:widowControl/>
        <w:tabs>
          <w:tab w:val="right" w:pos="10206"/>
        </w:tabs>
        <w:autoSpaceDE/>
        <w:autoSpaceDN/>
        <w:adjustRightInd/>
        <w:rPr>
          <w:color w:val="2F5496"/>
          <w:sz w:val="20"/>
          <w:szCs w:val="20"/>
        </w:rPr>
      </w:pPr>
      <w:r>
        <w:rPr>
          <w:rFonts w:ascii="TimesDL" w:hAnsi="TimesDL"/>
          <w:color w:val="2F5496"/>
          <w:sz w:val="20"/>
          <w:szCs w:val="20"/>
        </w:rPr>
        <w:t>Телефон: (495) 621-1412, факс: (495) 628-6278</w:t>
      </w:r>
      <w:r>
        <w:rPr>
          <w:rFonts w:ascii="TimesDL" w:hAnsi="TimesDL"/>
          <w:color w:val="2F5496"/>
          <w:sz w:val="20"/>
          <w:szCs w:val="20"/>
        </w:rPr>
        <w:tab/>
      </w:r>
      <w:r>
        <w:rPr>
          <w:rFonts w:ascii="TimesDL" w:hAnsi="TimesDL"/>
          <w:color w:val="2F5496"/>
          <w:sz w:val="20"/>
          <w:szCs w:val="20"/>
          <w:lang w:val="en-US"/>
        </w:rPr>
        <w:t>http</w:t>
      </w:r>
      <w:r>
        <w:rPr>
          <w:color w:val="2F5496"/>
          <w:sz w:val="20"/>
          <w:szCs w:val="20"/>
        </w:rPr>
        <w:t>://</w:t>
      </w:r>
      <w:r>
        <w:rPr>
          <w:color w:val="2F5496"/>
          <w:sz w:val="20"/>
          <w:szCs w:val="20"/>
          <w:lang w:val="en-US"/>
        </w:rPr>
        <w:t>www</w:t>
      </w:r>
      <w:r>
        <w:rPr>
          <w:color w:val="2F5496"/>
          <w:sz w:val="20"/>
          <w:szCs w:val="20"/>
        </w:rPr>
        <w:t>.</w:t>
      </w:r>
      <w:r>
        <w:rPr>
          <w:color w:val="2F5496"/>
          <w:sz w:val="20"/>
          <w:szCs w:val="20"/>
          <w:lang w:val="en-US"/>
        </w:rPr>
        <w:t>ggi</w:t>
      </w:r>
      <w:r>
        <w:rPr>
          <w:color w:val="2F5496"/>
          <w:sz w:val="20"/>
          <w:szCs w:val="20"/>
        </w:rPr>
        <w:t>.</w:t>
      </w:r>
      <w:r>
        <w:rPr>
          <w:color w:val="2F5496"/>
          <w:sz w:val="20"/>
          <w:szCs w:val="20"/>
          <w:lang w:val="en-US"/>
        </w:rPr>
        <w:t>mos</w:t>
      </w:r>
      <w:r>
        <w:rPr>
          <w:color w:val="2F5496"/>
          <w:sz w:val="20"/>
          <w:szCs w:val="20"/>
        </w:rPr>
        <w:t>.</w:t>
      </w:r>
      <w:r>
        <w:rPr>
          <w:color w:val="2F5496"/>
          <w:sz w:val="20"/>
          <w:szCs w:val="20"/>
          <w:lang w:val="en-US"/>
        </w:rPr>
        <w:t>ru</w:t>
      </w:r>
    </w:p>
    <w:p w:rsidR="00067090">
      <w:pPr>
        <w:widowControl/>
        <w:autoSpaceDE/>
        <w:autoSpaceDN/>
        <w:adjustRightInd/>
        <w:rPr>
          <w:color w:val="2F5496"/>
          <w:sz w:val="20"/>
          <w:szCs w:val="20"/>
        </w:rPr>
      </w:pPr>
      <w:r>
        <w:rPr>
          <w:color w:val="2F5496"/>
          <w:sz w:val="20"/>
          <w:szCs w:val="20"/>
        </w:rPr>
        <w:t xml:space="preserve">ОКПО 97253860, ОГРН 5067746661351, ИНН/КПП 7701679961/770101001 </w:t>
      </w:r>
    </w:p>
    <w:p w:rsidR="00067090">
      <w:pPr>
        <w:widowControl/>
        <w:autoSpaceDE/>
        <w:autoSpaceDN/>
        <w:adjustRightInd/>
        <w:rPr>
          <w:color w:val="2F5496"/>
          <w:sz w:val="4"/>
          <w:szCs w:val="20"/>
        </w:rPr>
      </w:pPr>
    </w:p>
    <w:p w:rsidR="00067090">
      <w:pPr>
        <w:widowControl/>
        <w:autoSpaceDE/>
        <w:autoSpaceDN/>
        <w:adjustRightInd/>
        <w:rPr>
          <w:color w:val="2F5496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54609</wp:posOffset>
                </wp:positionV>
                <wp:extent cx="6480175" cy="0"/>
                <wp:effectExtent l="0" t="19050" r="53975" b="38100"/>
                <wp:wrapSquare wrapText="bothSides"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1F3763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1.3pt,4.3pt" to="511.55pt,4.3pt" o:allowincell="f" strokecolor="#1f3763" strokeweight="4.5pt">
                <v:stroke linestyle="thickThin"/>
                <w10:wrap type="square"/>
              </v:line>
            </w:pict>
          </mc:Fallback>
        </mc:AlternateContent>
      </w:r>
    </w:p>
    <w:p w:rsidR="00067090">
      <w:pPr>
        <w:widowControl/>
        <w:autoSpaceDE/>
        <w:autoSpaceDN/>
        <w:adjustRightInd/>
        <w:jc w:val="center"/>
        <w:rPr>
          <w:b/>
          <w:color w:val="2F5496"/>
          <w:sz w:val="32"/>
          <w:szCs w:val="28"/>
        </w:rPr>
      </w:pPr>
      <w:r>
        <w:rPr>
          <w:b/>
          <w:color w:val="2F5496"/>
          <w:sz w:val="32"/>
          <w:szCs w:val="28"/>
        </w:rPr>
        <w:t>РАПОРТ</w:t>
      </w:r>
    </w:p>
    <w:p w:rsidR="00067090">
      <w:pPr>
        <w:widowControl/>
        <w:autoSpaceDE/>
        <w:autoSpaceDN/>
        <w:adjustRightInd/>
        <w:jc w:val="center"/>
        <w:rPr>
          <w:b/>
          <w:color w:val="2F5496"/>
          <w:sz w:val="32"/>
          <w:szCs w:val="28"/>
        </w:rPr>
      </w:pPr>
      <w:r>
        <w:rPr>
          <w:b/>
          <w:color w:val="2F5496"/>
          <w:sz w:val="32"/>
          <w:szCs w:val="28"/>
        </w:rPr>
        <w:t xml:space="preserve">об обнаружении административного нарушения </w:t>
      </w:r>
    </w:p>
    <w:p w:rsidR="00067090">
      <w:pPr>
        <w:widowControl/>
        <w:autoSpaceDE/>
        <w:autoSpaceDN/>
        <w:adjustRightInd/>
        <w:rPr>
          <w:b/>
          <w:color w:val="2F5496"/>
          <w:sz w:val="32"/>
          <w:szCs w:val="28"/>
        </w:rPr>
      </w:pPr>
    </w:p>
    <w:p w:rsidR="00067090">
      <w:pPr>
        <w:widowControl/>
        <w:autoSpaceDE/>
        <w:autoSpaceDN/>
        <w:adjustRightInd/>
      </w:pPr>
      <w:r w:rsidRPr="0028717F">
        <w:t>г. Москва</w:t>
      </w:r>
    </w:p>
    <w:p w:rsidR="0052282A">
      <w:pPr>
        <w:widowControl/>
        <w:autoSpaceDE/>
        <w:autoSpaceDN/>
        <w:adjustRightInd/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8"/>
        <w:gridCol w:w="5098"/>
      </w:tblGrid>
      <w:tr w:rsidTr="00C0771C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jc w:val="center"/>
        </w:trPr>
        <w:tc>
          <w:tcPr>
            <w:tcW w:w="5098" w:type="dxa"/>
          </w:tcPr>
          <w:p w:rsidR="00C0771C" w:rsidP="00183337">
            <w:pPr>
              <w:widowControl/>
              <w:autoSpaceDE/>
              <w:autoSpaceDN/>
              <w:adjustRightInd/>
              <w:ind w:left="-108"/>
            </w:pPr>
            <w:r w:rsidRPr="00CD3605">
              <w:rPr>
                <w:i/>
                <w:lang w:val="en-US"/>
              </w:rPr>
              <w:t>17.04.2020</w:t>
            </w:r>
          </w:p>
        </w:tc>
        <w:tc>
          <w:tcPr>
            <w:tcW w:w="5098" w:type="dxa"/>
          </w:tcPr>
          <w:p w:rsidR="00C0771C" w:rsidP="00183337">
            <w:pPr>
              <w:widowControl/>
              <w:autoSpaceDE/>
              <w:autoSpaceDN/>
              <w:adjustRightInd/>
              <w:ind w:right="-118"/>
              <w:jc w:val="right"/>
            </w:pPr>
            <w:r w:rsidRPr="00CD3605">
              <w:rPr>
                <w:i/>
              </w:rPr>
              <w:t xml:space="preserve">№ </w:t>
            </w:r>
            <w:r w:rsidRPr="00CD3605">
              <w:rPr>
                <w:i/>
                <w:lang w:val="en-US"/>
              </w:rPr>
              <w:t>9018604</w:t>
            </w:r>
          </w:p>
        </w:tc>
      </w:tr>
    </w:tbl>
    <w:p w:rsidR="00C0771C">
      <w:pPr>
        <w:widowControl/>
        <w:autoSpaceDE/>
        <w:autoSpaceDN/>
        <w:adjustRightInd/>
      </w:pPr>
    </w:p>
    <w:p w:rsidR="00627D68" w:rsidP="00627D68">
      <w:pPr>
        <w:widowControl/>
        <w:shd w:val="clear" w:color="auto" w:fill="FFFFFF"/>
        <w:autoSpaceDE/>
        <w:autoSpaceDN/>
        <w:adjustRightInd/>
        <w:ind w:firstLine="720"/>
        <w:jc w:val="both"/>
      </w:pPr>
      <w:bookmarkStart w:id="0" w:name="_GoBack"/>
      <w:bookmarkEnd w:id="0"/>
    </w:p>
    <w:p w:rsidR="00627D68" w:rsidRPr="0028717F" w:rsidP="00627D68">
      <w:pPr>
        <w:widowControl/>
        <w:shd w:val="clear" w:color="auto" w:fill="FFFFFF"/>
        <w:autoSpaceDE/>
        <w:autoSpaceDN/>
        <w:adjustRightInd/>
        <w:ind w:firstLine="720"/>
        <w:jc w:val="both"/>
      </w:pPr>
      <w:r w:rsidRPr="0028717F">
        <w:t xml:space="preserve">Мною, </w:t>
      </w:r>
      <w:r>
        <w:t>иным должностным лицом</w:t>
      </w:r>
      <w:r w:rsidRPr="0028717F">
        <w:t xml:space="preserve">, </w:t>
      </w:r>
      <w:r>
        <w:t>Управления контроля за объектами недвижимости по ЦАО</w:t>
      </w:r>
      <w:r w:rsidRPr="0028717F">
        <w:t xml:space="preserve"> Госинспекции по недвижимости </w:t>
      </w:r>
      <w:r>
        <w:t>Администратором</w:t>
      </w:r>
      <w:r w:rsidRPr="0028717F">
        <w:t xml:space="preserve"> проведен анализ акта о результатах осмотра объекта нежилого фонда от </w:t>
      </w:r>
      <w:r w:rsidRPr="0028717F">
        <w:rPr>
          <w:lang w:val="en-US"/>
        </w:rPr>
        <w:t>16.04.2020</w:t>
      </w:r>
      <w:r w:rsidRPr="0028717F">
        <w:t xml:space="preserve"> № </w:t>
      </w:r>
      <w:r w:rsidRPr="0028717F">
        <w:rPr>
          <w:lang w:val="en-US"/>
        </w:rPr>
        <w:t>9018604</w:t>
      </w:r>
      <w:r w:rsidRPr="0028717F">
        <w:t xml:space="preserve"> и приложенных к нему материалов осмотра объекта нежилого фонда по адресу: </w:t>
      </w:r>
      <w:r w:rsidRPr="0028717F">
        <w:rPr>
          <w:lang w:val="en-US"/>
        </w:rPr>
        <w:t>Пролетарская ул., 510</w:t>
      </w:r>
      <w:r w:rsidRPr="0028717F">
        <w:t>.</w:t>
      </w:r>
    </w:p>
    <w:p w:rsidR="00627D68" w:rsidRPr="0028717F" w:rsidP="00627D68">
      <w:pPr>
        <w:widowControl/>
        <w:shd w:val="clear" w:color="auto" w:fill="FFFFFF"/>
        <w:autoSpaceDE/>
        <w:autoSpaceDN/>
        <w:adjustRightInd/>
        <w:ind w:firstLine="720"/>
        <w:jc w:val="both"/>
      </w:pPr>
      <w:r w:rsidRPr="0028717F">
        <w:t>По результатам анализа материалов осмотра объекта недвижимости установлено:</w:t>
      </w:r>
    </w:p>
    <w:p w:rsidR="00627D68" w:rsidRPr="0028717F" w:rsidP="00627D68">
      <w:pPr>
        <w:widowControl/>
        <w:shd w:val="clear" w:color="auto" w:fill="FFFFFF"/>
        <w:autoSpaceDE/>
        <w:autoSpaceDN/>
        <w:adjustRightInd/>
        <w:ind w:firstLine="720"/>
        <w:jc w:val="both"/>
      </w:pPr>
    </w:p>
    <w:p w:rsidR="00627D68" w:rsidP="00627D68">
      <w:pPr>
        <w:widowControl/>
        <w:autoSpaceDE/>
        <w:autoSpaceDN/>
        <w:adjustRightInd/>
      </w:pPr>
      <w:r w:rsidRPr="0028717F">
        <w:t xml:space="preserve">Действия </w:t>
      </w:r>
      <w:r w:rsidRPr="0028717F">
        <w:rPr>
          <w:bCs/>
          <w:spacing w:val="-6"/>
        </w:rPr>
        <w:t xml:space="preserve"> </w:t>
      </w:r>
      <w:r w:rsidRPr="0028717F">
        <w:t>образуют</w:t>
      </w:r>
      <w:r w:rsidRPr="00242019">
        <w:t xml:space="preserve"> состав административного правонарушения, ответственность за которое предусмотрена </w:t>
      </w:r>
      <w:r w:rsidRPr="00242019">
        <w:t xml:space="preserve"> Кодекса города Москвы об</w:t>
      </w:r>
      <w:r>
        <w:t xml:space="preserve"> административных правонарушениях.</w:t>
      </w:r>
    </w:p>
    <w:p w:rsidR="003D382A" w:rsidP="00627D68">
      <w:pPr>
        <w:widowControl/>
        <w:autoSpaceDE/>
        <w:autoSpaceDN/>
        <w:adjustRightInd/>
      </w:pPr>
    </w:p>
    <w:p w:rsidR="003D382A" w:rsidP="00627D68">
      <w:pPr>
        <w:widowControl/>
        <w:autoSpaceDE/>
        <w:autoSpaceDN/>
        <w:adjustRightInd/>
      </w:pPr>
    </w:p>
    <w:p w:rsidR="00627D68" w:rsidP="00627D68">
      <w:pPr>
        <w:widowControl/>
        <w:autoSpaceDE/>
        <w:autoSpaceDN/>
        <w:adjustRightInd/>
      </w:pPr>
    </w:p>
    <w:tbl>
      <w:tblPr>
        <w:tblpPr w:leftFromText="180" w:rightFromText="180" w:vertAnchor="text" w:horzAnchor="page" w:tblpXSpec="center" w:tblpY="-22"/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51"/>
        <w:gridCol w:w="236"/>
        <w:gridCol w:w="4179"/>
        <w:gridCol w:w="281"/>
        <w:gridCol w:w="1044"/>
      </w:tblGrid>
      <w:tr w:rsidTr="00C82B61">
        <w:tblPrEx>
          <w:tblW w:w="969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35"/>
        </w:trPr>
        <w:tc>
          <w:tcPr>
            <w:tcW w:w="3951" w:type="dxa"/>
            <w:vMerge w:val="restart"/>
            <w:tcBorders>
              <w:top w:val="nil"/>
              <w:left w:val="nil"/>
              <w:right w:val="nil"/>
            </w:tcBorders>
          </w:tcPr>
          <w:p w:rsidR="003D382A" w:rsidP="00C82B61">
            <w:pPr>
              <w:pStyle w:val="Style8"/>
              <w:widowControl/>
              <w:spacing w:line="320" w:lineRule="exact"/>
              <w:ind w:firstLine="0"/>
              <w:jc w:val="left"/>
              <w:rPr>
                <w:rStyle w:val="FontStyle18"/>
                <w:b w:val="0"/>
              </w:rPr>
            </w:pPr>
            <w:r>
              <w:rPr>
                <w:b/>
                <w:sz w:val="26"/>
                <w:szCs w:val="26"/>
              </w:rPr>
              <w:t>иное должностное лицо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D382A" w:rsidP="00C82B61">
            <w:pPr>
              <w:widowControl/>
              <w:autoSpaceDE/>
              <w:autoSpaceDN/>
              <w:adjustRightInd/>
            </w:pP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382A" w:rsidP="00C82B61">
            <w:pPr>
              <w:pStyle w:val="Style8"/>
              <w:widowControl/>
              <w:spacing w:line="320" w:lineRule="exact"/>
              <w:ind w:firstLine="0"/>
              <w:jc w:val="center"/>
              <w:rPr>
                <w:rStyle w:val="FontStyle18"/>
                <w:b w:val="0"/>
              </w:rPr>
            </w:pPr>
            <w:r>
              <w:t>Администратор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382A" w:rsidP="00C82B61">
            <w:pPr>
              <w:widowControl/>
              <w:autoSpaceDE/>
              <w:autoSpaceDN/>
              <w:adjustRightInd/>
              <w:ind w:left="-108"/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382A" w:rsidP="00C82B61">
            <w:pPr>
              <w:widowControl/>
              <w:autoSpaceDE/>
              <w:autoSpaceDN/>
              <w:adjustRightInd/>
              <w:ind w:left="-108"/>
              <w:rPr>
                <w:i/>
              </w:rPr>
            </w:pPr>
          </w:p>
        </w:tc>
      </w:tr>
      <w:tr w:rsidTr="00C82B61">
        <w:tblPrEx>
          <w:tblW w:w="9691" w:type="dxa"/>
          <w:tblLayout w:type="fixed"/>
          <w:tblLook w:val="04A0"/>
        </w:tblPrEx>
        <w:trPr>
          <w:trHeight w:val="335"/>
        </w:trPr>
        <w:tc>
          <w:tcPr>
            <w:tcW w:w="3951" w:type="dxa"/>
            <w:vMerge/>
            <w:tcBorders>
              <w:left w:val="nil"/>
              <w:bottom w:val="nil"/>
              <w:right w:val="nil"/>
            </w:tcBorders>
          </w:tcPr>
          <w:p w:rsidR="003D382A" w:rsidP="00C82B61">
            <w:pPr>
              <w:widowControl/>
              <w:autoSpaceDE/>
              <w:autoSpaceDN/>
              <w:adjustRightInd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D382A" w:rsidP="00C82B61">
            <w:pPr>
              <w:widowControl/>
              <w:autoSpaceDE/>
              <w:autoSpaceDN/>
              <w:adjustRightInd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382A" w:rsidP="00C82B61">
            <w:pPr>
              <w:widowControl/>
              <w:autoSpaceDE/>
              <w:autoSpaceDN/>
              <w:adjustRightInd/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382A" w:rsidP="00C82B61">
            <w:pPr>
              <w:widowControl/>
              <w:autoSpaceDE/>
              <w:autoSpaceDN/>
              <w:adjustRightInd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382A" w:rsidP="00C82B61">
            <w:pPr>
              <w:pStyle w:val="Style8"/>
              <w:widowControl/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</w:tr>
    </w:tbl>
    <w:p w:rsidR="008C4E50" w:rsidP="008C4E50">
      <w:pPr>
        <w:widowControl/>
        <w:shd w:val="clear" w:color="auto" w:fill="FFFFFF"/>
        <w:autoSpaceDE/>
        <w:autoSpaceDN/>
        <w:adjustRightInd/>
        <w:jc w:val="both"/>
      </w:pPr>
    </w:p>
    <w:sectPr>
      <w:headerReference w:type="default" r:id="rId6"/>
      <w:type w:val="continuous"/>
      <w:pgSz w:w="11907" w:h="16840" w:code="9"/>
      <w:pgMar w:top="567" w:right="567" w:bottom="851" w:left="1134" w:header="567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67090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067090">
    <w:pPr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CE6C990A"/>
    <w:lvl w:ilvl="0">
      <w:start w:val="0"/>
      <w:numFmt w:val="bullet"/>
      <w:lvlText w:val="*"/>
      <w:lvlJc w:val="left"/>
    </w:lvl>
  </w:abstractNum>
  <w:abstractNum w:abstractNumId="1">
    <w:nsid w:val="0496313D"/>
    <w:multiLevelType w:val="hybridMultilevel"/>
    <w:tmpl w:val="04D22FD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C1C67"/>
    <w:multiLevelType w:val="singleLevel"/>
    <w:tmpl w:val="C65AE67C"/>
    <w:lvl w:ilvl="0">
      <w:start w:val="1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3">
    <w:nsid w:val="093A398E"/>
    <w:multiLevelType w:val="hybridMultilevel"/>
    <w:tmpl w:val="7AFEF8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22375"/>
    <w:multiLevelType w:val="hybridMultilevel"/>
    <w:tmpl w:val="F9BE95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5753F7"/>
    <w:multiLevelType w:val="hybridMultilevel"/>
    <w:tmpl w:val="EB02452A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1F2AB0"/>
    <w:multiLevelType w:val="hybridMultilevel"/>
    <w:tmpl w:val="B90C76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1199A"/>
    <w:multiLevelType w:val="singleLevel"/>
    <w:tmpl w:val="A080E08A"/>
    <w:lvl w:ilvl="0">
      <w:start w:val="6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8">
    <w:nsid w:val="4A183E0D"/>
    <w:multiLevelType w:val="hybridMultilevel"/>
    <w:tmpl w:val="A76094E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0037A3"/>
    <w:multiLevelType w:val="singleLevel"/>
    <w:tmpl w:val="6BC82F96"/>
    <w:lvl w:ilvl="0">
      <w:start w:val="18"/>
      <w:numFmt w:val="decimal"/>
      <w:lvlText w:val="%1."/>
      <w:legacy w:legacy="1" w:legacySpace="0" w:legacyIndent="400"/>
      <w:lvlJc w:val="left"/>
      <w:rPr>
        <w:rFonts w:ascii="Times New Roman" w:hAnsi="Times New Roman" w:cs="Times New Roman" w:hint="default"/>
        <w:b w:val="0"/>
      </w:rPr>
    </w:lvl>
  </w:abstractNum>
  <w:num w:numId="1">
    <w:abstractNumId w:val="2"/>
  </w:num>
  <w:num w:numId="2">
    <w:abstractNumId w:val="0"/>
    <w:lvlOverride w:ilvl="0">
      <w:lvl w:ilvl="0">
        <w:start w:val="0"/>
        <w:numFmt w:val="bullet"/>
        <w:lvlText w:val="-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0"/>
        <w:numFmt w:val="bullet"/>
        <w:lvlText w:val="-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7"/>
  </w:num>
  <w:num w:numId="5">
    <w:abstractNumId w:val="0"/>
    <w:lvlOverride w:ilvl="0">
      <w:lvl w:ilvl="0">
        <w:start w:val="0"/>
        <w:numFmt w:val="bullet"/>
        <w:lvlText w:val="-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0"/>
        <w:numFmt w:val="bullet"/>
        <w:lvlText w:val="-"/>
        <w:legacy w:legacy="1" w:legacySpace="0" w:legacyIndent="165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spacing w:line="328" w:lineRule="exact"/>
    </w:pPr>
  </w:style>
  <w:style w:type="paragraph" w:customStyle="1" w:styleId="Style2">
    <w:name w:val="Style2"/>
    <w:basedOn w:val="Normal"/>
    <w:pPr>
      <w:spacing w:line="324" w:lineRule="exact"/>
      <w:ind w:firstLine="742"/>
      <w:jc w:val="both"/>
    </w:pPr>
  </w:style>
  <w:style w:type="paragraph" w:customStyle="1" w:styleId="Style3">
    <w:name w:val="Style3"/>
    <w:basedOn w:val="Normal"/>
    <w:pPr>
      <w:jc w:val="both"/>
    </w:pPr>
  </w:style>
  <w:style w:type="paragraph" w:customStyle="1" w:styleId="Style4">
    <w:name w:val="Style4"/>
    <w:basedOn w:val="Normal"/>
    <w:pPr>
      <w:spacing w:line="331" w:lineRule="exact"/>
      <w:jc w:val="both"/>
    </w:pPr>
  </w:style>
  <w:style w:type="paragraph" w:customStyle="1" w:styleId="Style5">
    <w:name w:val="Style5"/>
    <w:basedOn w:val="Normal"/>
    <w:pPr>
      <w:spacing w:line="324" w:lineRule="exact"/>
      <w:ind w:hanging="1375"/>
    </w:pPr>
  </w:style>
  <w:style w:type="paragraph" w:customStyle="1" w:styleId="Style6">
    <w:name w:val="Style6"/>
    <w:basedOn w:val="Normal"/>
    <w:pPr>
      <w:jc w:val="both"/>
    </w:pPr>
  </w:style>
  <w:style w:type="paragraph" w:customStyle="1" w:styleId="Style7">
    <w:name w:val="Style7"/>
    <w:basedOn w:val="Normal"/>
    <w:pPr>
      <w:spacing w:line="326" w:lineRule="exact"/>
      <w:ind w:firstLine="695"/>
      <w:jc w:val="both"/>
    </w:pPr>
  </w:style>
  <w:style w:type="paragraph" w:customStyle="1" w:styleId="Style8">
    <w:name w:val="Style8"/>
    <w:basedOn w:val="Normal"/>
    <w:pPr>
      <w:spacing w:line="321" w:lineRule="exact"/>
      <w:ind w:firstLine="706"/>
      <w:jc w:val="both"/>
    </w:pPr>
  </w:style>
  <w:style w:type="paragraph" w:customStyle="1" w:styleId="Style9">
    <w:name w:val="Style9"/>
    <w:basedOn w:val="Normal"/>
  </w:style>
  <w:style w:type="paragraph" w:customStyle="1" w:styleId="Style10">
    <w:name w:val="Style10"/>
    <w:basedOn w:val="Normal"/>
  </w:style>
  <w:style w:type="paragraph" w:customStyle="1" w:styleId="Style11">
    <w:name w:val="Style11"/>
    <w:basedOn w:val="Normal"/>
  </w:style>
  <w:style w:type="paragraph" w:customStyle="1" w:styleId="Style12">
    <w:name w:val="Style12"/>
    <w:basedOn w:val="Normal"/>
    <w:pPr>
      <w:spacing w:line="324" w:lineRule="exact"/>
      <w:ind w:firstLine="540"/>
      <w:jc w:val="both"/>
    </w:pPr>
  </w:style>
  <w:style w:type="paragraph" w:customStyle="1" w:styleId="Style13">
    <w:name w:val="Style13"/>
    <w:basedOn w:val="Normal"/>
    <w:pPr>
      <w:spacing w:line="320" w:lineRule="exact"/>
      <w:ind w:firstLine="752"/>
    </w:pPr>
  </w:style>
  <w:style w:type="paragraph" w:customStyle="1" w:styleId="Style14">
    <w:name w:val="Style14"/>
    <w:basedOn w:val="Normal"/>
    <w:pPr>
      <w:spacing w:line="324" w:lineRule="exact"/>
      <w:ind w:firstLine="569"/>
      <w:jc w:val="both"/>
    </w:pPr>
  </w:style>
  <w:style w:type="character" w:customStyle="1" w:styleId="FontStyle16">
    <w:name w:val="Font Style16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rPr>
      <w:rFonts w:ascii="Times New Roman" w:hAnsi="Times New Roman" w:cs="Times New Roman"/>
      <w:sz w:val="26"/>
      <w:szCs w:val="26"/>
    </w:rPr>
  </w:style>
  <w:style w:type="character" w:customStyle="1" w:styleId="FontStyle18">
    <w:name w:val="Font Style1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9">
    <w:name w:val="Font Style1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0">
    <w:name w:val="Font Style2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1">
    <w:name w:val="Font Style21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rPr>
      <w:rFonts w:ascii="Arial Unicode MS" w:eastAsia="Arial Unicode MS" w:cs="Arial Unicode MS"/>
      <w:b/>
      <w:bCs/>
      <w:i/>
      <w:iCs/>
      <w:spacing w:val="20"/>
      <w:sz w:val="34"/>
      <w:szCs w:val="34"/>
    </w:rPr>
  </w:style>
  <w:style w:type="paragraph" w:styleId="Header">
    <w:name w:val="header"/>
    <w:basedOn w:val="Normal"/>
    <w:link w:val="a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link w:val="Header"/>
    <w:uiPriority w:val="99"/>
    <w:rPr>
      <w:sz w:val="24"/>
      <w:szCs w:val="24"/>
    </w:rPr>
  </w:style>
  <w:style w:type="paragraph" w:styleId="BalloonText">
    <w:name w:val="Balloon Text"/>
    <w:basedOn w:val="Normal"/>
    <w:link w:val="a0"/>
    <w:rPr>
      <w:rFonts w:ascii="Segoe UI" w:hAnsi="Segoe UI" w:cs="Segoe UI"/>
      <w:sz w:val="18"/>
      <w:szCs w:val="18"/>
    </w:rPr>
  </w:style>
  <w:style w:type="character" w:customStyle="1" w:styleId="a0">
    <w:name w:val="Текст выноски Знак"/>
    <w:link w:val="BalloonText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a1"/>
    <w:rPr>
      <w:sz w:val="20"/>
      <w:szCs w:val="20"/>
    </w:rPr>
  </w:style>
  <w:style w:type="character" w:customStyle="1" w:styleId="a1">
    <w:name w:val="Текст примечания Знак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a2"/>
    <w:rPr>
      <w:b/>
      <w:bCs/>
    </w:rPr>
  </w:style>
  <w:style w:type="character" w:customStyle="1" w:styleId="a2">
    <w:name w:val="Тема примечания Знак"/>
    <w:link w:val="CommentSubject"/>
    <w:rPr>
      <w:b/>
      <w:bCs/>
    </w:rPr>
  </w:style>
  <w:style w:type="paragraph" w:styleId="EndnoteText">
    <w:name w:val="endnote text"/>
    <w:basedOn w:val="Normal"/>
    <w:link w:val="a3"/>
    <w:rPr>
      <w:sz w:val="20"/>
      <w:szCs w:val="20"/>
    </w:rPr>
  </w:style>
  <w:style w:type="character" w:customStyle="1" w:styleId="a3">
    <w:name w:val="Текст концевой сноски Знак"/>
    <w:basedOn w:val="DefaultParagraphFont"/>
    <w:link w:val="EndnoteText"/>
  </w:style>
  <w:style w:type="character" w:styleId="EndnoteReference">
    <w:name w:val="endnote referen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97166-CB19-496D-A424-23C7B0A0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Macho</dc:creator>
  <cp:lastModifiedBy>Пользователь Windows</cp:lastModifiedBy>
  <cp:revision>24</cp:revision>
  <cp:lastPrinted>2016-10-25T07:46:00Z</cp:lastPrinted>
  <dcterms:created xsi:type="dcterms:W3CDTF">2017-04-07T12:39:00Z</dcterms:created>
  <dcterms:modified xsi:type="dcterms:W3CDTF">2017-04-14T13:50:00Z</dcterms:modified>
</cp:coreProperties>
</file>