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E59F8" w:rsidRPr="00CE59F8" w:rsidRDefault="00CE59F8" w:rsidP="00CE59F8">
      <w:pPr>
        <w:pBdr>
          <w:bottom w:val="single" w:sz="4" w:space="1" w:color="auto"/>
        </w:pBdr>
        <w:spacing w:before="240" w:line="300" w:lineRule="auto"/>
        <w:jc w:val="both"/>
        <w:rPr>
          <w:rFonts w:ascii="Times New Roman" w:hAnsi="Times New Roman"/>
          <w:b/>
          <w:bCs/>
          <w:smallCaps/>
          <w:sz w:val="23"/>
          <w:szCs w:val="23"/>
        </w:rPr>
      </w:pPr>
      <w:r w:rsidRPr="00CE59F8">
        <w:rPr>
          <w:rFonts w:ascii="Times New Roman" w:hAnsi="Times New Roman"/>
          <w:b/>
          <w:bCs/>
          <w:smallCaps/>
          <w:sz w:val="23"/>
          <w:szCs w:val="23"/>
        </w:rPr>
        <w:t xml:space="preserve">Fiche opinion – </w:t>
      </w:r>
      <w:r w:rsidR="00A27E2D">
        <w:rPr>
          <w:rFonts w:ascii="Times New Roman" w:hAnsi="Times New Roman"/>
          <w:b/>
          <w:bCs/>
          <w:smallCaps/>
          <w:sz w:val="23"/>
          <w:szCs w:val="23"/>
        </w:rPr>
        <w:t>environnement /</w:t>
      </w:r>
      <w:r w:rsidRPr="00CE59F8">
        <w:rPr>
          <w:rFonts w:ascii="Times New Roman" w:hAnsi="Times New Roman"/>
          <w:b/>
          <w:bCs/>
          <w:smallCaps/>
          <w:sz w:val="23"/>
          <w:szCs w:val="23"/>
        </w:rPr>
        <w:t xml:space="preserve"> </w:t>
      </w:r>
      <w:r w:rsidR="00A27E2D">
        <w:rPr>
          <w:rFonts w:ascii="Times New Roman" w:hAnsi="Times New Roman"/>
          <w:b/>
          <w:bCs/>
          <w:smallCaps/>
          <w:sz w:val="23"/>
          <w:szCs w:val="23"/>
        </w:rPr>
        <w:t>climat</w:t>
      </w:r>
    </w:p>
    <w:p w:rsidR="00AF61DA" w:rsidRPr="0047427F" w:rsidRDefault="00AF61DA" w:rsidP="00CE59F8">
      <w:pPr>
        <w:pStyle w:val="ListParagraph"/>
        <w:numPr>
          <w:ilvl w:val="0"/>
          <w:numId w:val="1"/>
        </w:numPr>
        <w:spacing w:before="360" w:line="300" w:lineRule="auto"/>
        <w:ind w:left="714" w:hanging="357"/>
        <w:jc w:val="both"/>
        <w:rPr>
          <w:rFonts w:ascii="Times New Roman" w:hAnsi="Times New Roman" w:cs="Times New Roman"/>
          <w:b/>
          <w:bCs/>
          <w:sz w:val="23"/>
          <w:szCs w:val="23"/>
          <w:u w:val="single"/>
        </w:rPr>
      </w:pPr>
      <w:r w:rsidRPr="0047427F">
        <w:rPr>
          <w:rFonts w:ascii="Times New Roman" w:hAnsi="Times New Roman" w:cs="Times New Roman"/>
          <w:b/>
          <w:bCs/>
          <w:sz w:val="23"/>
          <w:szCs w:val="23"/>
          <w:u w:val="single"/>
        </w:rPr>
        <w:t>L’urgence climatique a été éclipsée par la crise</w:t>
      </w:r>
    </w:p>
    <w:p w:rsidR="00AF61DA" w:rsidRPr="00AF61DA" w:rsidRDefault="00AF61DA" w:rsidP="00AF61DA">
      <w:pPr>
        <w:numPr>
          <w:ilvl w:val="0"/>
          <w:numId w:val="5"/>
        </w:numPr>
        <w:tabs>
          <w:tab w:val="left" w:pos="284"/>
        </w:tabs>
        <w:spacing w:before="240" w:after="0" w:line="300" w:lineRule="auto"/>
        <w:ind w:left="0" w:firstLine="0"/>
        <w:jc w:val="both"/>
        <w:rPr>
          <w:rFonts w:ascii="Times New Roman" w:hAnsi="Times New Roman"/>
          <w:sz w:val="23"/>
          <w:szCs w:val="23"/>
        </w:rPr>
      </w:pPr>
      <w:r w:rsidRPr="00CE59F8">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6" type="#_x0000_t75" style="position:absolute;left:0;text-align:left;margin-left:149.45pt;margin-top:110.8pt;width:353.2pt;height:235.15pt;z-index:1;mso-position-horizontal-relative:margin;mso-position-vertical-relative:margin">
            <v:imagedata r:id="rId5" r:href="rId6"/>
            <w10:wrap type="square" anchorx="margin" anchory="margin"/>
          </v:shape>
        </w:pict>
      </w:r>
      <w:r w:rsidRPr="00CE59F8">
        <w:rPr>
          <w:rFonts w:ascii="Times New Roman" w:hAnsi="Times New Roman"/>
          <w:b/>
          <w:sz w:val="23"/>
          <w:szCs w:val="23"/>
        </w:rPr>
        <w:t>Les préoccupations environnementales ont connu un bond à partir de 2006</w:t>
      </w:r>
      <w:r w:rsidRPr="00AF61DA">
        <w:rPr>
          <w:rFonts w:ascii="Times New Roman" w:hAnsi="Times New Roman"/>
          <w:sz w:val="23"/>
          <w:szCs w:val="23"/>
        </w:rPr>
        <w:t>, initiée par le film d’Al Gore (</w:t>
      </w:r>
      <w:r w:rsidRPr="00D54ADC">
        <w:rPr>
          <w:rFonts w:ascii="Times New Roman" w:hAnsi="Times New Roman"/>
          <w:i/>
          <w:sz w:val="23"/>
          <w:szCs w:val="23"/>
        </w:rPr>
        <w:t>Une vérité qui dérange</w:t>
      </w:r>
      <w:r w:rsidRPr="00AF61DA">
        <w:rPr>
          <w:rFonts w:ascii="Times New Roman" w:hAnsi="Times New Roman"/>
          <w:sz w:val="23"/>
          <w:szCs w:val="23"/>
        </w:rPr>
        <w:t>), prolongée en 2007 par le suspens autour de la candidature de N. Hulot puis la signature de son pacte écologique, entretenue par le Grenelle de l’environnement jusqu’à la conférence de Copenhague.</w:t>
      </w:r>
    </w:p>
    <w:p w:rsidR="00AF61DA" w:rsidRPr="00AF61DA" w:rsidRDefault="00AF61DA" w:rsidP="00CE59F8">
      <w:pPr>
        <w:tabs>
          <w:tab w:val="left" w:pos="3119"/>
        </w:tabs>
        <w:spacing w:before="120" w:after="0" w:line="300" w:lineRule="auto"/>
        <w:ind w:right="-567"/>
        <w:jc w:val="both"/>
        <w:rPr>
          <w:rFonts w:ascii="Times New Roman" w:hAnsi="Times New Roman"/>
          <w:sz w:val="23"/>
          <w:szCs w:val="23"/>
        </w:rPr>
      </w:pPr>
      <w:r w:rsidRPr="0047427F">
        <w:rPr>
          <w:rFonts w:ascii="Times New Roman" w:hAnsi="Times New Roman"/>
          <w:sz w:val="23"/>
          <w:szCs w:val="23"/>
        </w:rPr>
        <w:t>Cette période est terminée :</w:t>
      </w:r>
      <w:r w:rsidRPr="00CE59F8">
        <w:rPr>
          <w:rFonts w:ascii="Times New Roman" w:hAnsi="Times New Roman"/>
          <w:b/>
          <w:sz w:val="23"/>
          <w:szCs w:val="23"/>
        </w:rPr>
        <w:t xml:space="preserve"> à partir de 2009, la crise a renversé les perceptions</w:t>
      </w:r>
      <w:r w:rsidRPr="00AF61DA">
        <w:rPr>
          <w:rFonts w:ascii="Times New Roman" w:hAnsi="Times New Roman"/>
          <w:sz w:val="23"/>
          <w:szCs w:val="23"/>
        </w:rPr>
        <w:t xml:space="preserve">, réactivé les préoccupations socio-économiques, et fait reculer les thématiques écologiques. </w:t>
      </w:r>
      <w:r w:rsidRPr="00CE59F8">
        <w:rPr>
          <w:rFonts w:ascii="Times New Roman" w:hAnsi="Times New Roman"/>
          <w:b/>
          <w:sz w:val="23"/>
          <w:szCs w:val="23"/>
        </w:rPr>
        <w:t>Elles se situent aujourd’hui à l’un des plus bas niveaux sur une longue période</w:t>
      </w:r>
      <w:r w:rsidRPr="00AF61DA">
        <w:rPr>
          <w:rFonts w:ascii="Times New Roman" w:hAnsi="Times New Roman"/>
          <w:sz w:val="23"/>
          <w:szCs w:val="23"/>
        </w:rPr>
        <w:t>.</w:t>
      </w:r>
      <w:r w:rsidRPr="00AF61DA">
        <w:rPr>
          <w:rFonts w:ascii="Times New Roman" w:hAnsi="Times New Roman"/>
          <w:i/>
          <w:iCs/>
          <w:sz w:val="18"/>
          <w:szCs w:val="18"/>
        </w:rPr>
        <w:tab/>
        <w:t xml:space="preserve">Historique des préoccupations </w:t>
      </w:r>
      <w:r w:rsidR="00CE59F8">
        <w:rPr>
          <w:rFonts w:ascii="Times New Roman" w:hAnsi="Times New Roman"/>
          <w:i/>
          <w:iCs/>
          <w:sz w:val="18"/>
          <w:szCs w:val="18"/>
        </w:rPr>
        <w:t>concernant</w:t>
      </w:r>
      <w:r w:rsidRPr="00AF61DA">
        <w:rPr>
          <w:rFonts w:ascii="Times New Roman" w:hAnsi="Times New Roman"/>
          <w:i/>
          <w:iCs/>
          <w:sz w:val="18"/>
          <w:szCs w:val="18"/>
        </w:rPr>
        <w:t xml:space="preserve"> l’environnement, l’emploi, le pouvoir d’achat</w:t>
      </w:r>
    </w:p>
    <w:p w:rsidR="00AF61DA" w:rsidRPr="00CE59F8" w:rsidRDefault="00AF61DA" w:rsidP="00CE59F8">
      <w:pPr>
        <w:numPr>
          <w:ilvl w:val="0"/>
          <w:numId w:val="5"/>
        </w:numPr>
        <w:tabs>
          <w:tab w:val="left" w:pos="284"/>
          <w:tab w:val="left" w:pos="4820"/>
        </w:tabs>
        <w:spacing w:before="240" w:after="0" w:line="300" w:lineRule="auto"/>
        <w:ind w:left="0" w:firstLine="0"/>
        <w:jc w:val="both"/>
        <w:rPr>
          <w:rFonts w:ascii="Times New Roman" w:hAnsi="Times New Roman"/>
          <w:sz w:val="23"/>
          <w:szCs w:val="23"/>
        </w:rPr>
      </w:pPr>
      <w:r>
        <w:rPr>
          <w:noProof/>
        </w:rPr>
        <w:pict>
          <v:shape id="Image 2" o:spid="_x0000_s1027" type="#_x0000_t75" style="position:absolute;left:0;text-align:left;margin-left:196.45pt;margin-top:383.4pt;width:287.55pt;height:172.7pt;z-index:2;mso-position-horizontal-relative:margin;mso-position-vertical-relative:margin">
            <v:imagedata r:id="rId7" r:href="rId8"/>
            <w10:wrap type="square" anchorx="margin" anchory="margin"/>
          </v:shape>
        </w:pict>
      </w:r>
      <w:r w:rsidRPr="00AF61DA">
        <w:rPr>
          <w:rFonts w:ascii="Times New Roman" w:hAnsi="Times New Roman"/>
          <w:sz w:val="23"/>
          <w:szCs w:val="23"/>
        </w:rPr>
        <w:t xml:space="preserve">Parallèlement, la </w:t>
      </w:r>
      <w:r w:rsidRPr="0047427F">
        <w:rPr>
          <w:rFonts w:ascii="Times New Roman" w:hAnsi="Times New Roman"/>
          <w:b/>
          <w:sz w:val="23"/>
          <w:szCs w:val="23"/>
        </w:rPr>
        <w:t>visibilité des thèses climato-sceptiques à partir de 2010</w:t>
      </w:r>
      <w:r w:rsidRPr="00AF61DA">
        <w:rPr>
          <w:rFonts w:ascii="Times New Roman" w:hAnsi="Times New Roman"/>
          <w:sz w:val="23"/>
          <w:szCs w:val="23"/>
        </w:rPr>
        <w:t xml:space="preserve"> (parution de l’essai Cl. Allègre </w:t>
      </w:r>
      <w:r w:rsidR="00D54ADC" w:rsidRPr="00D54ADC">
        <w:rPr>
          <w:rFonts w:ascii="Times New Roman" w:hAnsi="Times New Roman"/>
          <w:i/>
          <w:sz w:val="23"/>
          <w:szCs w:val="23"/>
        </w:rPr>
        <w:t>L</w:t>
      </w:r>
      <w:r w:rsidRPr="00D54ADC">
        <w:rPr>
          <w:rFonts w:ascii="Times New Roman" w:hAnsi="Times New Roman"/>
          <w:i/>
          <w:sz w:val="23"/>
          <w:szCs w:val="23"/>
        </w:rPr>
        <w:t>’imposture climatique</w:t>
      </w:r>
      <w:r w:rsidRPr="00AF61DA">
        <w:rPr>
          <w:rFonts w:ascii="Times New Roman" w:hAnsi="Times New Roman"/>
          <w:sz w:val="23"/>
          <w:szCs w:val="23"/>
        </w:rPr>
        <w:t>) a entraîné une forte chute du nombre de personnes convaincues de l’origine anthropique du réchauffement. L’effet de ces débats s’est estompé à partir de 2011, mais la proportion de l’opinion qui croit à l’origine humaine du réchauffement reste encore aujourd’hui inférieure aux années 2005-2009.</w:t>
      </w:r>
      <w:r w:rsidR="00CE59F8">
        <w:rPr>
          <w:rFonts w:ascii="Times New Roman" w:hAnsi="Times New Roman"/>
          <w:sz w:val="23"/>
          <w:szCs w:val="23"/>
        </w:rPr>
        <w:t xml:space="preserve"> </w:t>
      </w:r>
      <w:r w:rsidR="00CE59F8">
        <w:rPr>
          <w:rFonts w:ascii="Times New Roman" w:hAnsi="Times New Roman"/>
          <w:sz w:val="23"/>
          <w:szCs w:val="23"/>
        </w:rPr>
        <w:tab/>
      </w:r>
      <w:r w:rsidRPr="00CE59F8">
        <w:rPr>
          <w:rFonts w:ascii="Times New Roman" w:hAnsi="Times New Roman"/>
          <w:i/>
          <w:iCs/>
          <w:sz w:val="18"/>
          <w:szCs w:val="18"/>
        </w:rPr>
        <w:t>Opinion sur les causes du réchauffement climatique</w:t>
      </w:r>
    </w:p>
    <w:p w:rsidR="00AF61DA" w:rsidRPr="00AF61DA" w:rsidRDefault="00AF61DA" w:rsidP="00CE59F8">
      <w:pPr>
        <w:numPr>
          <w:ilvl w:val="0"/>
          <w:numId w:val="5"/>
        </w:numPr>
        <w:tabs>
          <w:tab w:val="left" w:pos="284"/>
          <w:tab w:val="left" w:pos="4820"/>
        </w:tabs>
        <w:spacing w:before="240" w:after="0" w:line="300" w:lineRule="auto"/>
        <w:ind w:left="0" w:firstLine="0"/>
        <w:jc w:val="both"/>
        <w:rPr>
          <w:rFonts w:ascii="Times New Roman" w:hAnsi="Times New Roman"/>
          <w:sz w:val="23"/>
          <w:szCs w:val="23"/>
        </w:rPr>
      </w:pPr>
      <w:r w:rsidRPr="0047427F">
        <w:rPr>
          <w:rFonts w:ascii="Times New Roman" w:hAnsi="Times New Roman"/>
          <w:b/>
          <w:sz w:val="23"/>
          <w:szCs w:val="23"/>
        </w:rPr>
        <w:t>La sensibilité aux problèmes environnementaux reste cependant très élevée</w:t>
      </w:r>
      <w:r w:rsidRPr="00AF61DA">
        <w:rPr>
          <w:rFonts w:ascii="Times New Roman" w:hAnsi="Times New Roman"/>
          <w:sz w:val="23"/>
          <w:szCs w:val="23"/>
        </w:rPr>
        <w:t xml:space="preserve"> (plus de 80% en moyenne). Mais elle n’est </w:t>
      </w:r>
      <w:r w:rsidRPr="0047427F">
        <w:rPr>
          <w:rFonts w:ascii="Times New Roman" w:hAnsi="Times New Roman"/>
          <w:b/>
          <w:sz w:val="23"/>
          <w:szCs w:val="23"/>
        </w:rPr>
        <w:t>plus perçue comme prioritaire</w:t>
      </w:r>
      <w:r w:rsidRPr="00AF61DA">
        <w:rPr>
          <w:rFonts w:ascii="Times New Roman" w:hAnsi="Times New Roman"/>
          <w:sz w:val="23"/>
          <w:szCs w:val="23"/>
        </w:rPr>
        <w:t> ; en particulier dans un contexte où l’on soupçonne les politiques de chercher sans cesse des dérivatifs pour justifier le manque de résultats sur les préoccupations principales.</w:t>
      </w:r>
    </w:p>
    <w:p w:rsidR="00AF61DA" w:rsidRDefault="00AF61DA" w:rsidP="0047427F">
      <w:pPr>
        <w:numPr>
          <w:ilvl w:val="0"/>
          <w:numId w:val="5"/>
        </w:numPr>
        <w:tabs>
          <w:tab w:val="left" w:pos="284"/>
          <w:tab w:val="left" w:pos="4820"/>
        </w:tabs>
        <w:spacing w:before="240" w:after="0" w:line="300" w:lineRule="auto"/>
        <w:ind w:left="0" w:firstLine="0"/>
        <w:jc w:val="both"/>
        <w:rPr>
          <w:rFonts w:ascii="Times New Roman" w:hAnsi="Times New Roman"/>
          <w:sz w:val="23"/>
          <w:szCs w:val="23"/>
        </w:rPr>
      </w:pPr>
      <w:r w:rsidRPr="0047427F">
        <w:rPr>
          <w:rFonts w:ascii="Times New Roman" w:hAnsi="Times New Roman"/>
          <w:b/>
          <w:sz w:val="23"/>
          <w:szCs w:val="23"/>
        </w:rPr>
        <w:t>La COP n’est encore que faiblement identifiée</w:t>
      </w:r>
      <w:r w:rsidRPr="00AF61DA">
        <w:rPr>
          <w:rFonts w:ascii="Times New Roman" w:hAnsi="Times New Roman"/>
          <w:sz w:val="23"/>
          <w:szCs w:val="23"/>
        </w:rPr>
        <w:t xml:space="preserve"> : 57% des Français disent en avoir « entendu parler », dont 22% disent bien savoir de quoi il s’agit. L’échéance n’est pas encore </w:t>
      </w:r>
      <w:r w:rsidR="00D54ADC">
        <w:rPr>
          <w:rFonts w:ascii="Times New Roman" w:hAnsi="Times New Roman"/>
          <w:sz w:val="23"/>
          <w:szCs w:val="23"/>
        </w:rPr>
        <w:t xml:space="preserve">vraiment </w:t>
      </w:r>
      <w:r w:rsidRPr="00AF61DA">
        <w:rPr>
          <w:rFonts w:ascii="Times New Roman" w:hAnsi="Times New Roman"/>
          <w:sz w:val="23"/>
          <w:szCs w:val="23"/>
        </w:rPr>
        <w:t>dans le radar des Français.</w:t>
      </w:r>
    </w:p>
    <w:p w:rsidR="00AF61DA" w:rsidRPr="00AF61DA" w:rsidRDefault="00AF61DA" w:rsidP="00AF61DA">
      <w:pPr>
        <w:spacing w:before="120" w:after="0" w:line="300" w:lineRule="auto"/>
        <w:jc w:val="both"/>
        <w:rPr>
          <w:rFonts w:ascii="Times New Roman" w:hAnsi="Times New Roman"/>
          <w:sz w:val="23"/>
          <w:szCs w:val="23"/>
        </w:rPr>
      </w:pPr>
    </w:p>
    <w:p w:rsidR="00AF61DA" w:rsidRPr="00AF61DA" w:rsidRDefault="00AF61DA" w:rsidP="00AF61DA">
      <w:pPr>
        <w:pStyle w:val="ListParagraph"/>
        <w:numPr>
          <w:ilvl w:val="0"/>
          <w:numId w:val="2"/>
        </w:numPr>
        <w:spacing w:before="120" w:line="300" w:lineRule="auto"/>
        <w:jc w:val="both"/>
        <w:rPr>
          <w:rFonts w:ascii="Times New Roman" w:hAnsi="Times New Roman" w:cs="Times New Roman"/>
          <w:i/>
          <w:iCs/>
          <w:sz w:val="23"/>
          <w:szCs w:val="23"/>
        </w:rPr>
      </w:pPr>
      <w:r w:rsidRPr="00D54ADC">
        <w:rPr>
          <w:rFonts w:ascii="Times New Roman" w:hAnsi="Times New Roman" w:cs="Times New Roman"/>
          <w:b/>
          <w:i/>
          <w:iCs/>
          <w:sz w:val="23"/>
          <w:szCs w:val="23"/>
        </w:rPr>
        <w:t>La reviviscence d’une urgence climatique, dans le temps court qui nous sépare de la COP, nécessiterait une forme « d’électrochoc »</w:t>
      </w:r>
      <w:r w:rsidRPr="00AF61DA">
        <w:rPr>
          <w:rFonts w:ascii="Times New Roman" w:hAnsi="Times New Roman" w:cs="Times New Roman"/>
          <w:i/>
          <w:iCs/>
          <w:sz w:val="23"/>
          <w:szCs w:val="23"/>
        </w:rPr>
        <w:t xml:space="preserve"> (type film d’Al Gore : mobilisation émotionnelle qui toucherait le grand public) </w:t>
      </w:r>
      <w:r w:rsidRPr="00D54ADC">
        <w:rPr>
          <w:rFonts w:ascii="Times New Roman" w:hAnsi="Times New Roman" w:cs="Times New Roman"/>
          <w:b/>
          <w:i/>
          <w:iCs/>
          <w:sz w:val="23"/>
          <w:szCs w:val="23"/>
        </w:rPr>
        <w:t>qui ne peut venir sans doute que de la société civile</w:t>
      </w:r>
      <w:r w:rsidRPr="00AF61DA">
        <w:rPr>
          <w:rFonts w:ascii="Times New Roman" w:hAnsi="Times New Roman" w:cs="Times New Roman"/>
          <w:i/>
          <w:iCs/>
          <w:sz w:val="23"/>
          <w:szCs w:val="23"/>
        </w:rPr>
        <w:t xml:space="preserve"> (</w:t>
      </w:r>
      <w:r w:rsidR="00D54ADC">
        <w:rPr>
          <w:rFonts w:ascii="Times New Roman" w:hAnsi="Times New Roman" w:cs="Times New Roman"/>
          <w:i/>
          <w:iCs/>
          <w:sz w:val="23"/>
          <w:szCs w:val="23"/>
        </w:rPr>
        <w:t>i</w:t>
      </w:r>
      <w:r w:rsidR="00D54ADC" w:rsidRPr="00AF61DA">
        <w:rPr>
          <w:rFonts w:ascii="Times New Roman" w:hAnsi="Times New Roman" w:cs="Times New Roman"/>
          <w:i/>
          <w:iCs/>
          <w:sz w:val="23"/>
          <w:szCs w:val="23"/>
        </w:rPr>
        <w:t>l est difficile pour le politique de se mettre lui-même devant ses responsabilités</w:t>
      </w:r>
      <w:r w:rsidR="00D54ADC">
        <w:rPr>
          <w:rFonts w:ascii="Times New Roman" w:hAnsi="Times New Roman" w:cs="Times New Roman"/>
          <w:i/>
          <w:iCs/>
          <w:sz w:val="23"/>
          <w:szCs w:val="23"/>
        </w:rPr>
        <w:t> :</w:t>
      </w:r>
      <w:r w:rsidR="00D54ADC" w:rsidRPr="00AF61DA">
        <w:rPr>
          <w:rFonts w:ascii="Times New Roman" w:hAnsi="Times New Roman" w:cs="Times New Roman"/>
          <w:i/>
          <w:iCs/>
          <w:sz w:val="23"/>
          <w:szCs w:val="23"/>
        </w:rPr>
        <w:t xml:space="preserve"> </w:t>
      </w:r>
      <w:r w:rsidRPr="00AF61DA">
        <w:rPr>
          <w:rFonts w:ascii="Times New Roman" w:hAnsi="Times New Roman" w:cs="Times New Roman"/>
          <w:i/>
          <w:iCs/>
          <w:sz w:val="23"/>
          <w:szCs w:val="23"/>
        </w:rPr>
        <w:t>la parole politique est trop suspecte et toujours vue comme intéressée).</w:t>
      </w:r>
    </w:p>
    <w:p w:rsidR="00AF61DA" w:rsidRPr="00AF61DA" w:rsidRDefault="00AF61DA" w:rsidP="00AF61DA">
      <w:pPr>
        <w:pStyle w:val="ListParagraph"/>
        <w:numPr>
          <w:ilvl w:val="0"/>
          <w:numId w:val="2"/>
        </w:numPr>
        <w:spacing w:before="120" w:line="300" w:lineRule="auto"/>
        <w:jc w:val="both"/>
        <w:rPr>
          <w:rFonts w:ascii="Times New Roman" w:hAnsi="Times New Roman" w:cs="Times New Roman"/>
          <w:i/>
          <w:iCs/>
          <w:sz w:val="23"/>
          <w:szCs w:val="23"/>
        </w:rPr>
      </w:pPr>
      <w:r w:rsidRPr="00AF61DA">
        <w:rPr>
          <w:rFonts w:ascii="Times New Roman" w:hAnsi="Times New Roman" w:cs="Times New Roman"/>
          <w:i/>
          <w:iCs/>
          <w:sz w:val="23"/>
          <w:szCs w:val="23"/>
        </w:rPr>
        <w:t xml:space="preserve">La différence fondamentale avec la période 2006-2009 reste la prégnance de la crise. </w:t>
      </w:r>
      <w:r w:rsidRPr="00D54ADC">
        <w:rPr>
          <w:rFonts w:ascii="Times New Roman" w:hAnsi="Times New Roman" w:cs="Times New Roman"/>
          <w:b/>
          <w:i/>
          <w:iCs/>
          <w:sz w:val="23"/>
          <w:szCs w:val="23"/>
        </w:rPr>
        <w:t>Un effet de substitution existe pour le moment dans les représentations entre préoccupations économiques et environnementales</w:t>
      </w:r>
      <w:r w:rsidRPr="00AF61DA">
        <w:rPr>
          <w:rFonts w:ascii="Times New Roman" w:hAnsi="Times New Roman" w:cs="Times New Roman"/>
          <w:i/>
          <w:iCs/>
          <w:sz w:val="23"/>
          <w:szCs w:val="23"/>
        </w:rPr>
        <w:t xml:space="preserve"> ; et l’urgence reste économique. En tout état de cause, </w:t>
      </w:r>
      <w:r w:rsidRPr="00D54ADC">
        <w:rPr>
          <w:rFonts w:ascii="Times New Roman" w:hAnsi="Times New Roman" w:cs="Times New Roman"/>
          <w:b/>
          <w:i/>
          <w:iCs/>
          <w:sz w:val="23"/>
          <w:szCs w:val="23"/>
        </w:rPr>
        <w:t>capitaliser sur les problématiques environnementales ne pourra se faire que si ces gestes paraissent être des compléments d’une action pour l’emploi qui se poursuit en parallèle</w:t>
      </w:r>
      <w:r w:rsidRPr="00AF61DA">
        <w:rPr>
          <w:rFonts w:ascii="Times New Roman" w:hAnsi="Times New Roman" w:cs="Times New Roman"/>
          <w:i/>
          <w:iCs/>
          <w:sz w:val="23"/>
          <w:szCs w:val="23"/>
        </w:rPr>
        <w:t>, et non un enjeu érigé comme premier qui capterait les énergies gouvernementales.</w:t>
      </w:r>
    </w:p>
    <w:p w:rsidR="00AF61DA" w:rsidRPr="0047427F" w:rsidRDefault="00AF61DA" w:rsidP="0047427F">
      <w:pPr>
        <w:pStyle w:val="ListParagraph"/>
        <w:numPr>
          <w:ilvl w:val="0"/>
          <w:numId w:val="1"/>
        </w:numPr>
        <w:spacing w:before="480" w:line="300" w:lineRule="auto"/>
        <w:ind w:left="714" w:hanging="357"/>
        <w:jc w:val="both"/>
        <w:rPr>
          <w:rFonts w:ascii="Times New Roman" w:hAnsi="Times New Roman" w:cs="Times New Roman"/>
          <w:b/>
          <w:bCs/>
          <w:sz w:val="23"/>
          <w:szCs w:val="23"/>
          <w:u w:val="single"/>
        </w:rPr>
      </w:pPr>
      <w:r w:rsidRPr="0047427F">
        <w:rPr>
          <w:rFonts w:ascii="Times New Roman" w:hAnsi="Times New Roman" w:cs="Times New Roman"/>
          <w:b/>
          <w:bCs/>
          <w:sz w:val="23"/>
          <w:szCs w:val="23"/>
          <w:u w:val="single"/>
        </w:rPr>
        <w:t>En termes politiques, l’écologie s’est diluée</w:t>
      </w:r>
    </w:p>
    <w:p w:rsidR="00AF61DA" w:rsidRPr="0047427F" w:rsidRDefault="00AF61DA" w:rsidP="0047427F">
      <w:pPr>
        <w:numPr>
          <w:ilvl w:val="0"/>
          <w:numId w:val="5"/>
        </w:numPr>
        <w:tabs>
          <w:tab w:val="left" w:pos="284"/>
          <w:tab w:val="left" w:pos="4820"/>
        </w:tabs>
        <w:spacing w:before="240" w:after="0" w:line="300" w:lineRule="auto"/>
        <w:ind w:left="0" w:firstLine="0"/>
        <w:jc w:val="both"/>
        <w:rPr>
          <w:rFonts w:ascii="Times New Roman" w:hAnsi="Times New Roman"/>
          <w:sz w:val="23"/>
          <w:szCs w:val="23"/>
        </w:rPr>
      </w:pPr>
      <w:r w:rsidRPr="0047427F">
        <w:rPr>
          <w:rFonts w:ascii="Times New Roman" w:hAnsi="Times New Roman"/>
          <w:sz w:val="23"/>
          <w:szCs w:val="23"/>
        </w:rPr>
        <w:t xml:space="preserve">D’une part </w:t>
      </w:r>
      <w:r w:rsidRPr="0047427F">
        <w:rPr>
          <w:rFonts w:ascii="Times New Roman" w:hAnsi="Times New Roman"/>
          <w:b/>
          <w:sz w:val="23"/>
          <w:szCs w:val="23"/>
        </w:rPr>
        <w:t>la sensibilité environnementale se retrouve désormais chez tous les Français</w:t>
      </w:r>
      <w:r w:rsidRPr="0047427F">
        <w:rPr>
          <w:rFonts w:ascii="Times New Roman" w:hAnsi="Times New Roman"/>
          <w:sz w:val="23"/>
          <w:szCs w:val="23"/>
        </w:rPr>
        <w:t>,</w:t>
      </w:r>
      <w:r w:rsidR="0047427F" w:rsidRPr="0047427F">
        <w:rPr>
          <w:rFonts w:ascii="Times New Roman" w:hAnsi="Times New Roman"/>
          <w:sz w:val="23"/>
          <w:szCs w:val="23"/>
        </w:rPr>
        <w:t xml:space="preserve"> donc dans tous les électorats.</w:t>
      </w:r>
      <w:r w:rsidR="0047427F">
        <w:rPr>
          <w:rFonts w:ascii="Times New Roman" w:hAnsi="Times New Roman"/>
          <w:sz w:val="23"/>
          <w:szCs w:val="23"/>
        </w:rPr>
        <w:t xml:space="preserve"> </w:t>
      </w:r>
      <w:r w:rsidRPr="0047427F">
        <w:rPr>
          <w:rFonts w:ascii="Times New Roman" w:hAnsi="Times New Roman"/>
          <w:sz w:val="23"/>
          <w:szCs w:val="23"/>
        </w:rPr>
        <w:t xml:space="preserve">D’autre part </w:t>
      </w:r>
      <w:r w:rsidRPr="0047427F">
        <w:rPr>
          <w:rFonts w:ascii="Times New Roman" w:hAnsi="Times New Roman"/>
          <w:b/>
          <w:sz w:val="23"/>
          <w:szCs w:val="23"/>
        </w:rPr>
        <w:t>les partis incarnant « l’écologie politique » n’ont plus le monopole pour apporter des réponses aux préoccupations environnementales</w:t>
      </w:r>
      <w:r w:rsidRPr="0047427F">
        <w:rPr>
          <w:rFonts w:ascii="Times New Roman" w:hAnsi="Times New Roman"/>
          <w:sz w:val="23"/>
          <w:szCs w:val="23"/>
        </w:rPr>
        <w:t> : tous les partis sont vus, à des degrés divers, comme en capacité de le faire.</w:t>
      </w:r>
    </w:p>
    <w:p w:rsidR="0047427F" w:rsidRDefault="0047427F" w:rsidP="0047427F">
      <w:pPr>
        <w:numPr>
          <w:ilvl w:val="0"/>
          <w:numId w:val="5"/>
        </w:numPr>
        <w:tabs>
          <w:tab w:val="left" w:pos="284"/>
          <w:tab w:val="left" w:pos="4820"/>
        </w:tabs>
        <w:spacing w:before="240" w:after="0" w:line="300" w:lineRule="auto"/>
        <w:ind w:left="0" w:firstLine="0"/>
        <w:jc w:val="both"/>
        <w:rPr>
          <w:rFonts w:ascii="Times New Roman" w:hAnsi="Times New Roman"/>
          <w:sz w:val="23"/>
          <w:szCs w:val="23"/>
        </w:rPr>
      </w:pPr>
      <w:r>
        <w:rPr>
          <w:rFonts w:ascii="Times New Roman" w:hAnsi="Times New Roman"/>
          <w:sz w:val="23"/>
          <w:szCs w:val="23"/>
        </w:rPr>
        <w:t>En conséquence,</w:t>
      </w:r>
      <w:r w:rsidR="00AF61DA" w:rsidRPr="00AF61DA">
        <w:rPr>
          <w:rFonts w:ascii="Times New Roman" w:hAnsi="Times New Roman"/>
          <w:sz w:val="23"/>
          <w:szCs w:val="23"/>
        </w:rPr>
        <w:t xml:space="preserve"> </w:t>
      </w:r>
      <w:r w:rsidR="00AF61DA" w:rsidRPr="0047427F">
        <w:rPr>
          <w:rFonts w:ascii="Times New Roman" w:hAnsi="Times New Roman"/>
          <w:b/>
          <w:sz w:val="23"/>
          <w:szCs w:val="23"/>
        </w:rPr>
        <w:t>l’électorat « dur » des partis écologistes est devenu très réduit</w:t>
      </w:r>
      <w:r w:rsidR="00AF61DA" w:rsidRPr="00AF61DA">
        <w:rPr>
          <w:rFonts w:ascii="Times New Roman" w:hAnsi="Times New Roman"/>
          <w:sz w:val="23"/>
          <w:szCs w:val="23"/>
        </w:rPr>
        <w:t>. Persistent essentiellement deux types de profils : quelques CSP+ bien intégrés et moralement très attachés à cet enjeu sur un mode « puriste » ; à l’autre bout de l’échelle des CSP- largement désaffiliés de la politique mais continuant à voter par principe, perdus sur une échelle gauche-droite, et qui apportent leurs voix aux partis écologistes afin de se fixer sur un enjeu simple</w:t>
      </w:r>
      <w:r>
        <w:rPr>
          <w:rFonts w:ascii="Times New Roman" w:hAnsi="Times New Roman"/>
          <w:sz w:val="23"/>
          <w:szCs w:val="23"/>
        </w:rPr>
        <w:t>, compris, et qui paraît utile.</w:t>
      </w:r>
    </w:p>
    <w:p w:rsidR="00AF61DA" w:rsidRPr="0047427F" w:rsidRDefault="00AF61DA" w:rsidP="0047427F">
      <w:pPr>
        <w:tabs>
          <w:tab w:val="left" w:pos="3119"/>
        </w:tabs>
        <w:spacing w:before="120" w:after="0" w:line="300" w:lineRule="auto"/>
        <w:ind w:right="-1"/>
        <w:jc w:val="both"/>
        <w:rPr>
          <w:rFonts w:ascii="Times New Roman" w:hAnsi="Times New Roman"/>
          <w:sz w:val="23"/>
          <w:szCs w:val="23"/>
        </w:rPr>
      </w:pPr>
      <w:r w:rsidRPr="00AF61DA">
        <w:rPr>
          <w:rFonts w:ascii="Times New Roman" w:hAnsi="Times New Roman"/>
          <w:sz w:val="23"/>
          <w:szCs w:val="23"/>
        </w:rPr>
        <w:t>Ces deux profils, aujourd’hui acquis à EELV (qui y ajoute une fraction d’électorat de gauche qui ne veut pas voter pour le PS sans pour autant vouloir voter à l’extrême-gauche), pourraient tout aussi bien basculer vers une offre écologiste plus centriste ou dépolitisée.</w:t>
      </w:r>
    </w:p>
    <w:p w:rsidR="00AF61DA" w:rsidRPr="0047427F" w:rsidRDefault="00AF61DA" w:rsidP="0047427F">
      <w:pPr>
        <w:pStyle w:val="ListParagraph"/>
        <w:numPr>
          <w:ilvl w:val="0"/>
          <w:numId w:val="1"/>
        </w:numPr>
        <w:spacing w:before="480" w:line="300" w:lineRule="auto"/>
        <w:ind w:left="714" w:hanging="357"/>
        <w:jc w:val="both"/>
        <w:rPr>
          <w:rFonts w:ascii="Times New Roman" w:hAnsi="Times New Roman" w:cs="Times New Roman"/>
          <w:b/>
          <w:bCs/>
          <w:sz w:val="23"/>
          <w:szCs w:val="23"/>
          <w:u w:val="single"/>
        </w:rPr>
      </w:pPr>
      <w:r w:rsidRPr="0047427F">
        <w:rPr>
          <w:rFonts w:ascii="Times New Roman" w:hAnsi="Times New Roman" w:cs="Times New Roman"/>
          <w:b/>
          <w:bCs/>
          <w:sz w:val="23"/>
          <w:szCs w:val="23"/>
          <w:u w:val="single"/>
        </w:rPr>
        <w:t>En termes d’image du PR, travailler la sincérité de sa « conversion environnementale »</w:t>
      </w:r>
    </w:p>
    <w:p w:rsidR="00AF61DA" w:rsidRPr="00AF61DA" w:rsidRDefault="00AF61DA" w:rsidP="0047427F">
      <w:pPr>
        <w:numPr>
          <w:ilvl w:val="0"/>
          <w:numId w:val="5"/>
        </w:numPr>
        <w:tabs>
          <w:tab w:val="left" w:pos="284"/>
          <w:tab w:val="left" w:pos="4820"/>
        </w:tabs>
        <w:spacing w:before="240" w:after="0" w:line="300" w:lineRule="auto"/>
        <w:ind w:left="0" w:firstLine="0"/>
        <w:jc w:val="both"/>
        <w:rPr>
          <w:rFonts w:ascii="Times New Roman" w:hAnsi="Times New Roman"/>
          <w:sz w:val="23"/>
          <w:szCs w:val="23"/>
        </w:rPr>
      </w:pPr>
      <w:r w:rsidRPr="0047427F">
        <w:rPr>
          <w:rFonts w:ascii="Times New Roman" w:hAnsi="Times New Roman"/>
          <w:b/>
          <w:sz w:val="23"/>
          <w:szCs w:val="23"/>
        </w:rPr>
        <w:t>Ce n’est pas un trait d’image qui lui est spontanément attaché ; mais de petits signaux peuvent commencer à se voir</w:t>
      </w:r>
      <w:r w:rsidRPr="00AF61DA">
        <w:rPr>
          <w:rFonts w:ascii="Times New Roman" w:hAnsi="Times New Roman"/>
          <w:sz w:val="23"/>
          <w:szCs w:val="23"/>
        </w:rPr>
        <w:t>. Le déplacement aux Philippines en particulier avait été relevé à ce titre (l’objet du déplacement avait été compris, et on retrouvait peu de critiques).</w:t>
      </w:r>
    </w:p>
    <w:p w:rsidR="00501442" w:rsidRPr="0047427F" w:rsidRDefault="00AF61DA" w:rsidP="0047427F">
      <w:pPr>
        <w:numPr>
          <w:ilvl w:val="0"/>
          <w:numId w:val="5"/>
        </w:numPr>
        <w:tabs>
          <w:tab w:val="left" w:pos="284"/>
          <w:tab w:val="left" w:pos="4820"/>
        </w:tabs>
        <w:spacing w:before="240" w:after="0" w:line="300" w:lineRule="auto"/>
        <w:ind w:left="0" w:firstLine="0"/>
        <w:jc w:val="both"/>
        <w:rPr>
          <w:rFonts w:ascii="Times New Roman" w:hAnsi="Times New Roman"/>
          <w:sz w:val="23"/>
          <w:szCs w:val="23"/>
        </w:rPr>
      </w:pPr>
      <w:r w:rsidRPr="0047427F">
        <w:rPr>
          <w:rFonts w:ascii="Times New Roman" w:hAnsi="Times New Roman"/>
          <w:b/>
          <w:sz w:val="23"/>
          <w:szCs w:val="23"/>
        </w:rPr>
        <w:t xml:space="preserve">Le risque semble principalement tenir à une surmédiatisation du « décryptage politicien » de l’intérêt </w:t>
      </w:r>
      <w:r w:rsidR="0047427F" w:rsidRPr="0047427F">
        <w:rPr>
          <w:rFonts w:ascii="Times New Roman" w:hAnsi="Times New Roman"/>
          <w:b/>
          <w:sz w:val="23"/>
          <w:szCs w:val="23"/>
        </w:rPr>
        <w:t>du PR pour l’environnement</w:t>
      </w:r>
      <w:r w:rsidRPr="00AF61DA">
        <w:rPr>
          <w:rFonts w:ascii="Times New Roman" w:hAnsi="Times New Roman"/>
          <w:sz w:val="23"/>
          <w:szCs w:val="23"/>
        </w:rPr>
        <w:t xml:space="preserve"> (volonté de se rallier les Verts, calculs politiques, …) qui pourrait être entendu par l’opinion (traditionnellement hyper-sensible à ces décryptages, même si elle les rejette) et jeter un trouble sur le bénéfice potentiel en termes d’image.</w:t>
      </w:r>
      <w:r w:rsidR="0047427F">
        <w:rPr>
          <w:rFonts w:ascii="Times New Roman" w:hAnsi="Times New Roman"/>
          <w:sz w:val="23"/>
          <w:szCs w:val="23"/>
        </w:rPr>
        <w:t>/.</w:t>
      </w:r>
    </w:p>
    <w:sectPr w:rsidR="00501442" w:rsidRPr="0047427F" w:rsidSect="00CE59F8">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01463"/>
    <w:multiLevelType w:val="hybridMultilevel"/>
    <w:tmpl w:val="DBD89B7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3ED413DA"/>
    <w:multiLevelType w:val="hybridMultilevel"/>
    <w:tmpl w:val="3564CF6A"/>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51BE3DBE"/>
    <w:multiLevelType w:val="hybridMultilevel"/>
    <w:tmpl w:val="D68C627A"/>
    <w:lvl w:ilvl="0" w:tplc="536846D2">
      <w:start w:val="1"/>
      <w:numFmt w:val="bullet"/>
      <w:lvlText w:val="ð"/>
      <w:lvlJc w:val="left"/>
      <w:pPr>
        <w:ind w:left="360" w:hanging="360"/>
      </w:pPr>
      <w:rPr>
        <w:rFonts w:ascii="Wingdings" w:hAnsi="Wingdings"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749494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135668">
    <w:abstractNumId w:val="1"/>
  </w:num>
  <w:num w:numId="3" w16cid:durableId="793065707">
    <w:abstractNumId w:val="1"/>
  </w:num>
  <w:num w:numId="4" w16cid:durableId="1465465132">
    <w:abstractNumId w:val="0"/>
  </w:num>
  <w:num w:numId="5" w16cid:durableId="2099710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1DA"/>
    <w:rsid w:val="0047427F"/>
    <w:rsid w:val="00501442"/>
    <w:rsid w:val="00A27E2D"/>
    <w:rsid w:val="00AF61DA"/>
    <w:rsid w:val="00CE59F8"/>
    <w:rsid w:val="00D54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DB679C2-C52A-485B-8FAC-DC01C712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1DA"/>
    <w:pPr>
      <w:spacing w:after="0" w:line="240" w:lineRule="auto"/>
      <w:ind w:left="720"/>
    </w:pPr>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91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5.jpg@01D0671E.18C974C0"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3.jpg@01D0671E.18C974C0"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690</Words>
  <Characters>3934</Characters>
  <Application>Microsoft Office Word</Application>
  <DocSecurity>4</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4615</CharactersWithSpaces>
  <SharedDoc>false</SharedDoc>
  <HLinks>
    <vt:vector size="12" baseType="variant">
      <vt:variant>
        <vt:i4>3080209</vt:i4>
      </vt:variant>
      <vt:variant>
        <vt:i4>-1</vt:i4>
      </vt:variant>
      <vt:variant>
        <vt:i4>1026</vt:i4>
      </vt:variant>
      <vt:variant>
        <vt:i4>1</vt:i4>
      </vt:variant>
      <vt:variant>
        <vt:lpwstr>cid:image003.jpg@01D0671E.18C974C0</vt:lpwstr>
      </vt:variant>
      <vt:variant>
        <vt:lpwstr/>
      </vt:variant>
      <vt:variant>
        <vt:i4>2686993</vt:i4>
      </vt:variant>
      <vt:variant>
        <vt:i4>-1</vt:i4>
      </vt:variant>
      <vt:variant>
        <vt:i4>1027</vt:i4>
      </vt:variant>
      <vt:variant>
        <vt:i4>1</vt:i4>
      </vt:variant>
      <vt:variant>
        <vt:lpwstr>cid:image005.jpg@01D0671E.18C974C0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dcterms:created xsi:type="dcterms:W3CDTF">2015-03-25T16:26:00Z</dcterms:created>
  <dcterms:modified xsi:type="dcterms:W3CDTF">2015-03-25T16:42:00Z</dcterms:modified>
</cp:coreProperties>
</file>