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641B" w:rsidRPr="00D50D67" w:rsidRDefault="00D10580" w:rsidP="0002434E">
      <w:pPr>
        <w:pBdr>
          <w:bottom w:val="single" w:sz="4" w:space="1" w:color="auto"/>
        </w:pBdr>
        <w:spacing w:before="120" w:after="0"/>
        <w:rPr>
          <w:rFonts w:ascii="Arial Narrow" w:hAnsi="Arial Narrow"/>
          <w:b/>
          <w:smallCaps/>
          <w:sz w:val="23"/>
          <w:szCs w:val="23"/>
        </w:rPr>
      </w:pPr>
      <w:r>
        <w:rPr>
          <w:rFonts w:ascii="Arial Narrow" w:hAnsi="Arial Narrow"/>
          <w:b/>
          <w:smallCaps/>
          <w:sz w:val="23"/>
          <w:szCs w:val="23"/>
        </w:rPr>
        <w:t>Retours</w:t>
      </w:r>
      <w:r w:rsidR="00D50D67" w:rsidRPr="00D50D67">
        <w:rPr>
          <w:rFonts w:ascii="Arial Narrow" w:hAnsi="Arial Narrow"/>
          <w:b/>
          <w:smallCaps/>
          <w:sz w:val="23"/>
          <w:szCs w:val="23"/>
        </w:rPr>
        <w:t xml:space="preserve"> post-scrutin</w:t>
      </w:r>
    </w:p>
    <w:p w:rsidR="00D50D67" w:rsidRPr="00D50D67" w:rsidRDefault="00D50D67" w:rsidP="0002434E">
      <w:pPr>
        <w:numPr>
          <w:ilvl w:val="0"/>
          <w:numId w:val="1"/>
        </w:numPr>
        <w:spacing w:before="360" w:after="0"/>
        <w:ind w:left="714" w:hanging="357"/>
        <w:rPr>
          <w:rFonts w:ascii="Arial Narrow" w:hAnsi="Arial Narrow"/>
          <w:b/>
          <w:sz w:val="23"/>
          <w:szCs w:val="23"/>
          <w:u w:val="single"/>
        </w:rPr>
      </w:pPr>
      <w:r w:rsidRPr="00D50D67">
        <w:rPr>
          <w:rFonts w:ascii="Arial Narrow" w:hAnsi="Arial Narrow"/>
          <w:b/>
          <w:sz w:val="23"/>
          <w:szCs w:val="23"/>
          <w:u w:val="single"/>
        </w:rPr>
        <w:t>Fiabilité des instituts</w:t>
      </w:r>
    </w:p>
    <w:p w:rsidR="00D50D67" w:rsidRDefault="00D50D67" w:rsidP="0002434E">
      <w:pPr>
        <w:spacing w:before="200" w:after="0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La comparaison entre les résultats et les estimations livrées à 20h au national et sur quelques régions montre que :</w:t>
      </w:r>
    </w:p>
    <w:p w:rsidR="00D50D67" w:rsidRDefault="00D50D67" w:rsidP="0002434E">
      <w:pPr>
        <w:numPr>
          <w:ilvl w:val="0"/>
          <w:numId w:val="2"/>
        </w:numPr>
        <w:spacing w:before="200" w:after="0"/>
        <w:ind w:left="284" w:hanging="284"/>
        <w:rPr>
          <w:rFonts w:ascii="Arial Narrow" w:hAnsi="Arial Narrow"/>
          <w:sz w:val="23"/>
          <w:szCs w:val="23"/>
        </w:rPr>
      </w:pPr>
      <w:r w:rsidRPr="005E613A">
        <w:rPr>
          <w:rFonts w:ascii="Arial Narrow" w:hAnsi="Arial Narrow"/>
          <w:b/>
          <w:sz w:val="23"/>
          <w:szCs w:val="23"/>
        </w:rPr>
        <w:t>TNS-Sofres</w:t>
      </w:r>
      <w:r>
        <w:rPr>
          <w:rFonts w:ascii="Arial Narrow" w:hAnsi="Arial Narrow"/>
          <w:sz w:val="23"/>
          <w:szCs w:val="23"/>
        </w:rPr>
        <w:t xml:space="preserve"> </w:t>
      </w:r>
      <w:r w:rsidR="005E613A">
        <w:rPr>
          <w:rFonts w:ascii="Arial Narrow" w:hAnsi="Arial Narrow"/>
          <w:sz w:val="23"/>
          <w:szCs w:val="23"/>
        </w:rPr>
        <w:t>a donné</w:t>
      </w:r>
      <w:r>
        <w:rPr>
          <w:rFonts w:ascii="Arial Narrow" w:hAnsi="Arial Narrow"/>
          <w:sz w:val="23"/>
          <w:szCs w:val="23"/>
        </w:rPr>
        <w:t>, de loin, les meilleures estimations.</w:t>
      </w:r>
    </w:p>
    <w:p w:rsidR="00D50D67" w:rsidRDefault="00D50D67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5E613A">
        <w:rPr>
          <w:rFonts w:ascii="Arial Narrow" w:hAnsi="Arial Narrow"/>
          <w:b/>
          <w:sz w:val="23"/>
          <w:szCs w:val="23"/>
        </w:rPr>
        <w:t>Ipsos</w:t>
      </w:r>
      <w:r>
        <w:rPr>
          <w:rFonts w:ascii="Arial Narrow" w:hAnsi="Arial Narrow"/>
          <w:sz w:val="23"/>
          <w:szCs w:val="23"/>
        </w:rPr>
        <w:t xml:space="preserve"> </w:t>
      </w:r>
      <w:r w:rsidR="005E613A">
        <w:rPr>
          <w:rFonts w:ascii="Arial Narrow" w:hAnsi="Arial Narrow"/>
          <w:sz w:val="23"/>
          <w:szCs w:val="23"/>
        </w:rPr>
        <w:t>a eu</w:t>
      </w:r>
      <w:r>
        <w:rPr>
          <w:rFonts w:ascii="Arial Narrow" w:hAnsi="Arial Narrow"/>
          <w:sz w:val="23"/>
          <w:szCs w:val="23"/>
        </w:rPr>
        <w:t xml:space="preserve"> </w:t>
      </w:r>
      <w:r w:rsidR="007A5855">
        <w:rPr>
          <w:rFonts w:ascii="Arial Narrow" w:hAnsi="Arial Narrow"/>
          <w:sz w:val="23"/>
          <w:szCs w:val="23"/>
        </w:rPr>
        <w:t xml:space="preserve">dans </w:t>
      </w:r>
      <w:r>
        <w:rPr>
          <w:rFonts w:ascii="Arial Narrow" w:hAnsi="Arial Narrow"/>
          <w:sz w:val="23"/>
          <w:szCs w:val="23"/>
        </w:rPr>
        <w:t>l’ensemble des estimations correctes, mais avec des difficultés de calibrage du FN</w:t>
      </w:r>
      <w:r w:rsidR="007A5855">
        <w:rPr>
          <w:rFonts w:ascii="Arial Narrow" w:hAnsi="Arial Narrow"/>
          <w:sz w:val="23"/>
          <w:szCs w:val="23"/>
        </w:rPr>
        <w:t xml:space="preserve"> (dont </w:t>
      </w:r>
      <w:r w:rsidR="005E613A">
        <w:rPr>
          <w:rFonts w:ascii="Arial Narrow" w:hAnsi="Arial Narrow"/>
          <w:sz w:val="23"/>
          <w:szCs w:val="23"/>
        </w:rPr>
        <w:t xml:space="preserve">LR et FN </w:t>
      </w:r>
      <w:r w:rsidR="007A5855">
        <w:rPr>
          <w:rFonts w:ascii="Arial Narrow" w:hAnsi="Arial Narrow"/>
          <w:sz w:val="23"/>
          <w:szCs w:val="23"/>
        </w:rPr>
        <w:t xml:space="preserve">donnés </w:t>
      </w:r>
      <w:r w:rsidR="005E613A">
        <w:rPr>
          <w:rFonts w:ascii="Arial Narrow" w:hAnsi="Arial Narrow"/>
          <w:sz w:val="23"/>
          <w:szCs w:val="23"/>
        </w:rPr>
        <w:t>au coude-à-coude au niveau national</w:t>
      </w:r>
      <w:r w:rsidR="007A5855">
        <w:rPr>
          <w:rFonts w:ascii="Arial Narrow" w:hAnsi="Arial Narrow"/>
          <w:sz w:val="23"/>
          <w:szCs w:val="23"/>
        </w:rPr>
        <w:t xml:space="preserve"> à 20h</w:t>
      </w:r>
      <w:r w:rsidR="005E613A">
        <w:rPr>
          <w:rFonts w:ascii="Arial Narrow" w:hAnsi="Arial Narrow"/>
          <w:sz w:val="23"/>
          <w:szCs w:val="23"/>
        </w:rPr>
        <w:t xml:space="preserve"> </w:t>
      </w:r>
      <w:r w:rsidR="007A5855">
        <w:rPr>
          <w:rFonts w:ascii="Arial Narrow" w:hAnsi="Arial Narrow"/>
          <w:sz w:val="23"/>
          <w:szCs w:val="23"/>
        </w:rPr>
        <w:t xml:space="preserve">- </w:t>
      </w:r>
      <w:r w:rsidR="005E613A">
        <w:rPr>
          <w:rFonts w:ascii="Arial Narrow" w:hAnsi="Arial Narrow"/>
          <w:sz w:val="23"/>
          <w:szCs w:val="23"/>
        </w:rPr>
        <w:t>27,2% contre 27%).</w:t>
      </w:r>
    </w:p>
    <w:p w:rsidR="0078098E" w:rsidRDefault="0078098E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proofErr w:type="spellStart"/>
      <w:r w:rsidRPr="005E613A">
        <w:rPr>
          <w:rFonts w:ascii="Arial Narrow" w:hAnsi="Arial Narrow"/>
          <w:b/>
          <w:sz w:val="23"/>
          <w:szCs w:val="23"/>
        </w:rPr>
        <w:t>Opinionway</w:t>
      </w:r>
      <w:proofErr w:type="spellEnd"/>
      <w:r>
        <w:rPr>
          <w:rFonts w:ascii="Arial Narrow" w:hAnsi="Arial Narrow"/>
          <w:sz w:val="23"/>
          <w:szCs w:val="23"/>
        </w:rPr>
        <w:t xml:space="preserve"> a eu des estimations irrégulières : parmi les meilleures au national et en NPDCP ; </w:t>
      </w:r>
      <w:r w:rsidR="007A5855">
        <w:rPr>
          <w:rFonts w:ascii="Arial Narrow" w:hAnsi="Arial Narrow"/>
          <w:sz w:val="23"/>
          <w:szCs w:val="23"/>
        </w:rPr>
        <w:t xml:space="preserve">mais </w:t>
      </w:r>
      <w:r>
        <w:rPr>
          <w:rFonts w:ascii="Arial Narrow" w:hAnsi="Arial Narrow"/>
          <w:sz w:val="23"/>
          <w:szCs w:val="23"/>
        </w:rPr>
        <w:t>avec des erreurs relativement importantes en Ile-de-France.</w:t>
      </w:r>
    </w:p>
    <w:p w:rsidR="0002434E" w:rsidRPr="0002434E" w:rsidRDefault="005E613A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proofErr w:type="spellStart"/>
      <w:r w:rsidRPr="005E613A">
        <w:rPr>
          <w:rFonts w:ascii="Arial Narrow" w:hAnsi="Arial Narrow"/>
          <w:b/>
          <w:sz w:val="23"/>
          <w:szCs w:val="23"/>
        </w:rPr>
        <w:t>L’Ifop</w:t>
      </w:r>
      <w:proofErr w:type="spellEnd"/>
      <w:r w:rsidR="0078098E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 xml:space="preserve">a </w:t>
      </w:r>
      <w:r w:rsidR="007A5855">
        <w:rPr>
          <w:rFonts w:ascii="Arial Narrow" w:hAnsi="Arial Narrow"/>
          <w:sz w:val="23"/>
          <w:szCs w:val="23"/>
        </w:rPr>
        <w:t xml:space="preserve">presque toujours </w:t>
      </w:r>
      <w:r>
        <w:rPr>
          <w:rFonts w:ascii="Arial Narrow" w:hAnsi="Arial Narrow"/>
          <w:sz w:val="23"/>
          <w:szCs w:val="23"/>
        </w:rPr>
        <w:t>surcoté le FN, déséquilibrant les autres scores.</w:t>
      </w:r>
    </w:p>
    <w:p w:rsidR="0078098E" w:rsidRPr="0078098E" w:rsidRDefault="0078098E" w:rsidP="0002434E">
      <w:pPr>
        <w:spacing w:before="360" w:after="0"/>
        <w:jc w:val="both"/>
        <w:rPr>
          <w:rFonts w:ascii="Arial Narrow" w:hAnsi="Arial Narrow"/>
          <w:sz w:val="23"/>
          <w:szCs w:val="23"/>
        </w:rPr>
      </w:pPr>
      <w:r w:rsidRPr="007809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474.75pt">
            <v:imagedata r:id="rId5" o:title=""/>
          </v:shape>
        </w:pict>
      </w:r>
    </w:p>
    <w:p w:rsidR="00D50D67" w:rsidRDefault="00D50D67" w:rsidP="0002434E">
      <w:pPr>
        <w:spacing w:before="120" w:after="0"/>
        <w:rPr>
          <w:rFonts w:ascii="Arial Narrow" w:hAnsi="Arial Narrow"/>
          <w:sz w:val="23"/>
          <w:szCs w:val="23"/>
        </w:rPr>
      </w:pPr>
    </w:p>
    <w:p w:rsidR="005E613A" w:rsidRDefault="005E613A" w:rsidP="0002434E">
      <w:pPr>
        <w:spacing w:before="120" w:after="0"/>
        <w:rPr>
          <w:rFonts w:ascii="Arial Narrow" w:hAnsi="Arial Narrow"/>
          <w:sz w:val="23"/>
          <w:szCs w:val="23"/>
        </w:rPr>
      </w:pPr>
    </w:p>
    <w:p w:rsidR="0078098E" w:rsidRDefault="0078098E" w:rsidP="0002434E">
      <w:pPr>
        <w:numPr>
          <w:ilvl w:val="0"/>
          <w:numId w:val="1"/>
        </w:numPr>
        <w:spacing w:before="360" w:after="0"/>
        <w:ind w:left="714" w:hanging="357"/>
        <w:rPr>
          <w:rFonts w:ascii="Arial Narrow" w:hAnsi="Arial Narrow"/>
          <w:b/>
          <w:sz w:val="23"/>
          <w:szCs w:val="23"/>
          <w:u w:val="single"/>
        </w:rPr>
      </w:pPr>
      <w:r>
        <w:rPr>
          <w:rFonts w:ascii="Arial Narrow" w:hAnsi="Arial Narrow"/>
          <w:b/>
          <w:sz w:val="23"/>
          <w:szCs w:val="23"/>
          <w:u w:val="single"/>
        </w:rPr>
        <w:t>Ventilations des électorats 2012</w:t>
      </w:r>
    </w:p>
    <w:p w:rsidR="0078098E" w:rsidRDefault="0078098E" w:rsidP="0002434E">
      <w:pPr>
        <w:spacing w:before="200" w:after="0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L</w:t>
      </w:r>
      <w:r w:rsidR="000C4DB1">
        <w:rPr>
          <w:rFonts w:ascii="Arial Narrow" w:hAnsi="Arial Narrow"/>
          <w:sz w:val="23"/>
          <w:szCs w:val="23"/>
        </w:rPr>
        <w:t xml:space="preserve">es trois études jour du vote (Harris, </w:t>
      </w:r>
      <w:proofErr w:type="spellStart"/>
      <w:r w:rsidR="000C4DB1">
        <w:rPr>
          <w:rFonts w:ascii="Arial Narrow" w:hAnsi="Arial Narrow"/>
          <w:sz w:val="23"/>
          <w:szCs w:val="23"/>
        </w:rPr>
        <w:t>OpinionWay</w:t>
      </w:r>
      <w:proofErr w:type="spellEnd"/>
      <w:r w:rsidR="000C4DB1">
        <w:rPr>
          <w:rFonts w:ascii="Arial Narrow" w:hAnsi="Arial Narrow"/>
          <w:sz w:val="23"/>
          <w:szCs w:val="23"/>
        </w:rPr>
        <w:t>, Ifop) sont convergentes</w:t>
      </w:r>
      <w:r w:rsidR="002C22B7">
        <w:rPr>
          <w:rFonts w:ascii="Arial Narrow" w:hAnsi="Arial Narrow"/>
          <w:sz w:val="23"/>
          <w:szCs w:val="23"/>
        </w:rPr>
        <w:t xml:space="preserve">. </w:t>
      </w:r>
      <w:r w:rsidR="00360E4A">
        <w:rPr>
          <w:rFonts w:ascii="Arial Narrow" w:hAnsi="Arial Narrow"/>
          <w:sz w:val="23"/>
          <w:szCs w:val="23"/>
        </w:rPr>
        <w:t>Elles notent :</w:t>
      </w:r>
    </w:p>
    <w:p w:rsidR="002C22B7" w:rsidRDefault="002C22B7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BF4201">
        <w:rPr>
          <w:rFonts w:ascii="Arial Narrow" w:hAnsi="Arial Narrow"/>
          <w:b/>
          <w:sz w:val="23"/>
          <w:szCs w:val="23"/>
        </w:rPr>
        <w:t>Un électorat FH 2012 davantage rassemblé sur les listes PS</w:t>
      </w:r>
      <w:r>
        <w:rPr>
          <w:rFonts w:ascii="Arial Narrow" w:hAnsi="Arial Narrow"/>
          <w:sz w:val="23"/>
          <w:szCs w:val="23"/>
        </w:rPr>
        <w:t xml:space="preserve"> </w:t>
      </w:r>
      <w:r w:rsidR="00FA61E3">
        <w:rPr>
          <w:rFonts w:ascii="Arial Narrow" w:hAnsi="Arial Narrow"/>
          <w:sz w:val="23"/>
          <w:szCs w:val="23"/>
        </w:rPr>
        <w:t xml:space="preserve">(65% à 70%) </w:t>
      </w:r>
      <w:r>
        <w:rPr>
          <w:rFonts w:ascii="Arial Narrow" w:hAnsi="Arial Narrow"/>
          <w:sz w:val="23"/>
          <w:szCs w:val="23"/>
        </w:rPr>
        <w:t>que lors des précédents scrutins</w:t>
      </w:r>
      <w:r w:rsidR="00FA61E3">
        <w:rPr>
          <w:rFonts w:ascii="Arial Narrow" w:hAnsi="Arial Narrow"/>
          <w:sz w:val="23"/>
          <w:szCs w:val="23"/>
        </w:rPr>
        <w:t xml:space="preserve"> (i</w:t>
      </w:r>
      <w:r>
        <w:rPr>
          <w:rFonts w:ascii="Arial Narrow" w:hAnsi="Arial Narrow"/>
          <w:sz w:val="23"/>
          <w:szCs w:val="23"/>
        </w:rPr>
        <w:t>l était tombé à 50% aux européennes</w:t>
      </w:r>
      <w:r w:rsidR="00FA61E3">
        <w:rPr>
          <w:rFonts w:ascii="Arial Narrow" w:hAnsi="Arial Narrow"/>
          <w:sz w:val="23"/>
          <w:szCs w:val="23"/>
        </w:rPr>
        <w:t>)</w:t>
      </w:r>
      <w:r>
        <w:rPr>
          <w:rFonts w:ascii="Arial Narrow" w:hAnsi="Arial Narrow"/>
          <w:sz w:val="23"/>
          <w:szCs w:val="23"/>
        </w:rPr>
        <w:t>.</w:t>
      </w:r>
    </w:p>
    <w:p w:rsidR="00FA61E3" w:rsidRDefault="002C22B7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BF4201">
        <w:rPr>
          <w:rFonts w:ascii="Arial Narrow" w:hAnsi="Arial Narrow"/>
          <w:b/>
          <w:sz w:val="23"/>
          <w:szCs w:val="23"/>
        </w:rPr>
        <w:t xml:space="preserve">Des fuites de l’électorat </w:t>
      </w:r>
      <w:r w:rsidR="00FA61E3" w:rsidRPr="00BF4201">
        <w:rPr>
          <w:rFonts w:ascii="Arial Narrow" w:hAnsi="Arial Narrow"/>
          <w:b/>
          <w:sz w:val="23"/>
          <w:szCs w:val="23"/>
        </w:rPr>
        <w:t>NS 2012 vers le FN</w:t>
      </w:r>
      <w:r w:rsidR="00FA61E3">
        <w:rPr>
          <w:rFonts w:ascii="Arial Narrow" w:hAnsi="Arial Narrow"/>
          <w:sz w:val="23"/>
          <w:szCs w:val="23"/>
        </w:rPr>
        <w:t xml:space="preserve"> de plus de 20% : c’est une nouvelle accélération par rapport aux derniers scrutins</w:t>
      </w:r>
      <w:r w:rsidR="00BE6657">
        <w:rPr>
          <w:rFonts w:ascii="Arial Narrow" w:hAnsi="Arial Narrow"/>
          <w:sz w:val="23"/>
          <w:szCs w:val="23"/>
        </w:rPr>
        <w:t xml:space="preserve"> (que le retour de </w:t>
      </w:r>
      <w:r w:rsidR="00FA61E3">
        <w:rPr>
          <w:rFonts w:ascii="Arial Narrow" w:hAnsi="Arial Narrow"/>
          <w:sz w:val="23"/>
          <w:szCs w:val="23"/>
        </w:rPr>
        <w:t xml:space="preserve">NS </w:t>
      </w:r>
      <w:r w:rsidR="00BE6657">
        <w:rPr>
          <w:rFonts w:ascii="Arial Narrow" w:hAnsi="Arial Narrow"/>
          <w:sz w:val="23"/>
          <w:szCs w:val="23"/>
        </w:rPr>
        <w:t>n’a pas freiné, au contraire)</w:t>
      </w:r>
      <w:r w:rsidR="00FA61E3">
        <w:rPr>
          <w:rFonts w:ascii="Arial Narrow" w:hAnsi="Arial Narrow"/>
          <w:sz w:val="23"/>
          <w:szCs w:val="23"/>
        </w:rPr>
        <w:t>.</w:t>
      </w:r>
    </w:p>
    <w:p w:rsidR="00FA61E3" w:rsidRDefault="00937DFD" w:rsidP="0002434E">
      <w:pPr>
        <w:spacing w:before="120" w:after="0"/>
        <w:ind w:left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L</w:t>
      </w:r>
      <w:r w:rsidR="00FA61E3" w:rsidRPr="00FA61E3">
        <w:rPr>
          <w:rFonts w:ascii="Arial Narrow" w:hAnsi="Arial Narrow"/>
          <w:sz w:val="23"/>
          <w:szCs w:val="23"/>
        </w:rPr>
        <w:t>e basculement des électeurs</w:t>
      </w:r>
      <w:r w:rsidR="00FA61E3">
        <w:rPr>
          <w:rFonts w:ascii="Arial Narrow" w:hAnsi="Arial Narrow"/>
          <w:sz w:val="23"/>
          <w:szCs w:val="23"/>
        </w:rPr>
        <w:t xml:space="preserve"> FH 2012</w:t>
      </w:r>
      <w:r w:rsidR="00FA61E3" w:rsidRPr="00FA61E3">
        <w:rPr>
          <w:rFonts w:ascii="Arial Narrow" w:hAnsi="Arial Narrow"/>
          <w:sz w:val="23"/>
          <w:szCs w:val="23"/>
        </w:rPr>
        <w:t xml:space="preserve"> vers le FN plafonne</w:t>
      </w:r>
      <w:r>
        <w:rPr>
          <w:rFonts w:ascii="Arial Narrow" w:hAnsi="Arial Narrow"/>
          <w:sz w:val="23"/>
          <w:szCs w:val="23"/>
        </w:rPr>
        <w:t xml:space="preserve"> pour sa part</w:t>
      </w:r>
      <w:r w:rsidR="00FA61E3" w:rsidRPr="00FA61E3">
        <w:rPr>
          <w:rFonts w:ascii="Arial Narrow" w:hAnsi="Arial Narrow"/>
          <w:sz w:val="23"/>
          <w:szCs w:val="23"/>
        </w:rPr>
        <w:t xml:space="preserve"> autour de 10%.</w:t>
      </w:r>
    </w:p>
    <w:p w:rsidR="00360E4A" w:rsidRPr="00BF4201" w:rsidRDefault="00360E4A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Dans toutes les tranches d’âge jusqu’à 65 ans, </w:t>
      </w:r>
      <w:r w:rsidR="00BF4201">
        <w:rPr>
          <w:rFonts w:ascii="Arial Narrow" w:hAnsi="Arial Narrow"/>
          <w:sz w:val="23"/>
          <w:szCs w:val="23"/>
        </w:rPr>
        <w:t xml:space="preserve">sont </w:t>
      </w:r>
      <w:r>
        <w:rPr>
          <w:rFonts w:ascii="Arial Narrow" w:hAnsi="Arial Narrow"/>
          <w:sz w:val="23"/>
          <w:szCs w:val="23"/>
        </w:rPr>
        <w:t xml:space="preserve">en tête soit le FN soit la gauche. </w:t>
      </w:r>
      <w:r w:rsidRPr="00BF4201">
        <w:rPr>
          <w:rFonts w:ascii="Arial Narrow" w:hAnsi="Arial Narrow"/>
          <w:b/>
          <w:sz w:val="23"/>
          <w:szCs w:val="23"/>
        </w:rPr>
        <w:t xml:space="preserve">Les plus de 65 ans sont le dernier segment où LR parvient à garder </w:t>
      </w:r>
      <w:r w:rsidRPr="00BE6657">
        <w:rPr>
          <w:rFonts w:ascii="Arial Narrow" w:hAnsi="Arial Narrow"/>
          <w:sz w:val="23"/>
          <w:szCs w:val="23"/>
        </w:rPr>
        <w:t xml:space="preserve">(relativement) </w:t>
      </w:r>
      <w:r w:rsidRPr="00BF4201">
        <w:rPr>
          <w:rFonts w:ascii="Arial Narrow" w:hAnsi="Arial Narrow"/>
          <w:b/>
          <w:sz w:val="23"/>
          <w:szCs w:val="23"/>
        </w:rPr>
        <w:t>à l’écart la concurre</w:t>
      </w:r>
      <w:r w:rsidR="00BF4201">
        <w:rPr>
          <w:rFonts w:ascii="Arial Narrow" w:hAnsi="Arial Narrow"/>
          <w:b/>
          <w:sz w:val="23"/>
          <w:szCs w:val="23"/>
        </w:rPr>
        <w:t>nce FN. Pour tous les autres,</w:t>
      </w:r>
      <w:r w:rsidRPr="00BF4201">
        <w:rPr>
          <w:rFonts w:ascii="Arial Narrow" w:hAnsi="Arial Narrow"/>
          <w:b/>
          <w:sz w:val="23"/>
          <w:szCs w:val="23"/>
        </w:rPr>
        <w:t xml:space="preserve"> l’</w:t>
      </w:r>
      <w:r w:rsidR="00BF4201">
        <w:rPr>
          <w:rFonts w:ascii="Arial Narrow" w:hAnsi="Arial Narrow"/>
          <w:b/>
          <w:sz w:val="23"/>
          <w:szCs w:val="23"/>
        </w:rPr>
        <w:t xml:space="preserve">alternative à la gauche </w:t>
      </w:r>
      <w:r w:rsidRPr="00BF4201">
        <w:rPr>
          <w:rFonts w:ascii="Arial Narrow" w:hAnsi="Arial Narrow"/>
          <w:b/>
          <w:sz w:val="23"/>
          <w:szCs w:val="23"/>
        </w:rPr>
        <w:t>est désormais le FN.</w:t>
      </w:r>
    </w:p>
    <w:p w:rsidR="00BF4201" w:rsidRPr="00BF4201" w:rsidRDefault="00BF4201" w:rsidP="0002434E">
      <w:pPr>
        <w:numPr>
          <w:ilvl w:val="0"/>
          <w:numId w:val="2"/>
        </w:numPr>
        <w:spacing w:before="20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BF4201">
        <w:rPr>
          <w:rFonts w:ascii="Arial Narrow" w:hAnsi="Arial Narrow"/>
          <w:sz w:val="23"/>
          <w:szCs w:val="23"/>
        </w:rPr>
        <w:t>Le FN est larg</w:t>
      </w:r>
      <w:r w:rsidR="0070177C">
        <w:rPr>
          <w:rFonts w:ascii="Arial Narrow" w:hAnsi="Arial Narrow"/>
          <w:sz w:val="23"/>
          <w:szCs w:val="23"/>
        </w:rPr>
        <w:t>ement en tête chez les salariés ;</w:t>
      </w:r>
      <w:r w:rsidRPr="00BF4201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 xml:space="preserve">et fait des scores </w:t>
      </w:r>
      <w:r w:rsidR="0070177C">
        <w:rPr>
          <w:rFonts w:ascii="Arial Narrow" w:hAnsi="Arial Narrow"/>
          <w:sz w:val="23"/>
          <w:szCs w:val="23"/>
        </w:rPr>
        <w:t>très</w:t>
      </w:r>
      <w:r>
        <w:rPr>
          <w:rFonts w:ascii="Arial Narrow" w:hAnsi="Arial Narrow"/>
          <w:sz w:val="23"/>
          <w:szCs w:val="23"/>
        </w:rPr>
        <w:t xml:space="preserve"> important</w:t>
      </w:r>
      <w:r w:rsidR="0070177C">
        <w:rPr>
          <w:rFonts w:ascii="Arial Narrow" w:hAnsi="Arial Narrow"/>
          <w:sz w:val="23"/>
          <w:szCs w:val="23"/>
        </w:rPr>
        <w:t>s (autour de 30%)</w:t>
      </w:r>
      <w:r>
        <w:rPr>
          <w:rFonts w:ascii="Arial Narrow" w:hAnsi="Arial Narrow"/>
          <w:sz w:val="23"/>
          <w:szCs w:val="23"/>
        </w:rPr>
        <w:t xml:space="preserve"> y compris chez les salariés du public</w:t>
      </w:r>
      <w:r w:rsidR="0070177C">
        <w:rPr>
          <w:rFonts w:ascii="Arial Narrow" w:hAnsi="Arial Narrow"/>
          <w:sz w:val="23"/>
          <w:szCs w:val="23"/>
        </w:rPr>
        <w:t xml:space="preserve"> (fonctionnaires ou salariés d’entreprises publiques)</w:t>
      </w:r>
      <w:r>
        <w:rPr>
          <w:rFonts w:ascii="Arial Narrow" w:hAnsi="Arial Narrow"/>
          <w:sz w:val="23"/>
          <w:szCs w:val="23"/>
        </w:rPr>
        <w:t>.</w:t>
      </w:r>
    </w:p>
    <w:p w:rsidR="0070177C" w:rsidRDefault="0070177C" w:rsidP="0002434E">
      <w:pPr>
        <w:numPr>
          <w:ilvl w:val="0"/>
          <w:numId w:val="1"/>
        </w:numPr>
        <w:spacing w:before="360" w:after="0"/>
        <w:ind w:left="714" w:hanging="357"/>
        <w:rPr>
          <w:rFonts w:ascii="Arial Narrow" w:hAnsi="Arial Narrow"/>
          <w:b/>
          <w:sz w:val="23"/>
          <w:szCs w:val="23"/>
          <w:u w:val="single"/>
        </w:rPr>
      </w:pPr>
      <w:r>
        <w:rPr>
          <w:rFonts w:ascii="Arial Narrow" w:hAnsi="Arial Narrow"/>
          <w:b/>
          <w:sz w:val="23"/>
          <w:szCs w:val="23"/>
          <w:u w:val="single"/>
        </w:rPr>
        <w:t>Impact des attentats</w:t>
      </w:r>
    </w:p>
    <w:p w:rsidR="00036727" w:rsidRDefault="0070177C" w:rsidP="0002434E">
      <w:pPr>
        <w:spacing w:before="200" w:after="0"/>
        <w:jc w:val="both"/>
        <w:rPr>
          <w:rFonts w:ascii="Arial Narrow" w:hAnsi="Arial Narrow"/>
          <w:sz w:val="23"/>
          <w:szCs w:val="23"/>
        </w:rPr>
      </w:pPr>
      <w:r w:rsidRPr="00BE6657">
        <w:rPr>
          <w:rFonts w:ascii="Arial Narrow" w:hAnsi="Arial Narrow"/>
          <w:b/>
          <w:sz w:val="23"/>
          <w:szCs w:val="23"/>
        </w:rPr>
        <w:t xml:space="preserve">Il </w:t>
      </w:r>
      <w:r w:rsidR="00036727" w:rsidRPr="00BE6657">
        <w:rPr>
          <w:rFonts w:ascii="Arial Narrow" w:hAnsi="Arial Narrow"/>
          <w:b/>
          <w:sz w:val="23"/>
          <w:szCs w:val="23"/>
        </w:rPr>
        <w:t xml:space="preserve">a clairement joué </w:t>
      </w:r>
      <w:r w:rsidRPr="00BE6657">
        <w:rPr>
          <w:rFonts w:ascii="Arial Narrow" w:hAnsi="Arial Narrow"/>
          <w:b/>
          <w:sz w:val="23"/>
          <w:szCs w:val="23"/>
        </w:rPr>
        <w:t>pour gonfler l’électorat FN</w:t>
      </w:r>
      <w:r>
        <w:rPr>
          <w:rFonts w:ascii="Arial Narrow" w:hAnsi="Arial Narrow"/>
          <w:sz w:val="23"/>
          <w:szCs w:val="23"/>
        </w:rPr>
        <w:t> : 16% des votants pour le FN disent que les attentats les ont fait « changer d’avis</w:t>
      </w:r>
      <w:r w:rsidR="00036727">
        <w:rPr>
          <w:rFonts w:ascii="Arial Narrow" w:hAnsi="Arial Narrow"/>
          <w:sz w:val="23"/>
          <w:szCs w:val="23"/>
        </w:rPr>
        <w:t xml:space="preserve"> dans leur choix de vote » (y compris celui de voter ou de s’abstenir) ; en revanche il n’a </w:t>
      </w:r>
      <w:r w:rsidR="00036727" w:rsidRPr="00BE6657">
        <w:rPr>
          <w:rFonts w:ascii="Arial Narrow" w:hAnsi="Arial Narrow"/>
          <w:b/>
          <w:sz w:val="23"/>
          <w:szCs w:val="23"/>
        </w:rPr>
        <w:t>pas paru être un déterminant de mobilisation pour la gauche</w:t>
      </w:r>
      <w:r w:rsidR="00036727">
        <w:rPr>
          <w:rFonts w:ascii="Arial Narrow" w:hAnsi="Arial Narrow"/>
          <w:sz w:val="23"/>
          <w:szCs w:val="23"/>
        </w:rPr>
        <w:t>.</w:t>
      </w:r>
    </w:p>
    <w:p w:rsidR="00036727" w:rsidRDefault="00036727" w:rsidP="0002434E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Ces résultats sont cohérents avec les tendances que l’on notait dans les questions ouvertes de ce week-end.</w:t>
      </w:r>
    </w:p>
    <w:p w:rsidR="00036727" w:rsidRDefault="00036727" w:rsidP="0002434E">
      <w:pPr>
        <w:numPr>
          <w:ilvl w:val="0"/>
          <w:numId w:val="1"/>
        </w:numPr>
        <w:spacing w:before="360" w:after="0"/>
        <w:ind w:left="714" w:hanging="357"/>
        <w:rPr>
          <w:rFonts w:ascii="Arial Narrow" w:hAnsi="Arial Narrow"/>
          <w:b/>
          <w:sz w:val="23"/>
          <w:szCs w:val="23"/>
          <w:u w:val="single"/>
        </w:rPr>
      </w:pPr>
      <w:r>
        <w:rPr>
          <w:rFonts w:ascii="Arial Narrow" w:hAnsi="Arial Narrow"/>
          <w:b/>
          <w:sz w:val="23"/>
          <w:szCs w:val="23"/>
          <w:u w:val="single"/>
        </w:rPr>
        <w:t>Motivations de vote à gauche</w:t>
      </w:r>
    </w:p>
    <w:p w:rsidR="00036727" w:rsidRDefault="00036727" w:rsidP="0002434E">
      <w:pPr>
        <w:spacing w:before="200" w:after="0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Dans les mots des sympathisants </w:t>
      </w:r>
      <w:r w:rsidR="00D10580">
        <w:rPr>
          <w:rFonts w:ascii="Arial Narrow" w:hAnsi="Arial Narrow"/>
          <w:sz w:val="23"/>
          <w:szCs w:val="23"/>
        </w:rPr>
        <w:t>de gauche</w:t>
      </w:r>
      <w:r>
        <w:rPr>
          <w:rFonts w:ascii="Arial Narrow" w:hAnsi="Arial Narrow"/>
          <w:sz w:val="23"/>
          <w:szCs w:val="23"/>
        </w:rPr>
        <w:t xml:space="preserve"> au mome</w:t>
      </w:r>
      <w:r w:rsidR="00BE6657">
        <w:rPr>
          <w:rFonts w:ascii="Arial Narrow" w:hAnsi="Arial Narrow"/>
          <w:sz w:val="23"/>
          <w:szCs w:val="23"/>
        </w:rPr>
        <w:t>nt de voter</w:t>
      </w:r>
      <w:r>
        <w:rPr>
          <w:rFonts w:ascii="Arial Narrow" w:hAnsi="Arial Narrow"/>
          <w:sz w:val="23"/>
          <w:szCs w:val="23"/>
        </w:rPr>
        <w:t xml:space="preserve"> </w:t>
      </w:r>
      <w:r w:rsidRPr="00D10580">
        <w:rPr>
          <w:rFonts w:ascii="Arial Narrow" w:hAnsi="Arial Narrow"/>
          <w:b/>
          <w:sz w:val="23"/>
          <w:szCs w:val="23"/>
        </w:rPr>
        <w:t xml:space="preserve">le FN étaient clairement au centre </w:t>
      </w:r>
      <w:r w:rsidR="00D10580" w:rsidRPr="00D10580">
        <w:rPr>
          <w:rFonts w:ascii="Arial Narrow" w:hAnsi="Arial Narrow"/>
          <w:b/>
          <w:sz w:val="23"/>
          <w:szCs w:val="23"/>
        </w:rPr>
        <w:t>des enjeux</w:t>
      </w:r>
      <w:r w:rsidR="00D10580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 xml:space="preserve">(et ses </w:t>
      </w:r>
      <w:r w:rsidR="00D10580">
        <w:rPr>
          <w:rFonts w:ascii="Arial Narrow" w:hAnsi="Arial Narrow"/>
          <w:sz w:val="23"/>
          <w:szCs w:val="23"/>
        </w:rPr>
        <w:t>représentations associées : « </w:t>
      </w:r>
      <w:r w:rsidRPr="00036727">
        <w:rPr>
          <w:rFonts w:ascii="Arial Narrow" w:hAnsi="Arial Narrow"/>
          <w:sz w:val="23"/>
          <w:szCs w:val="23"/>
        </w:rPr>
        <w:t>peur</w:t>
      </w:r>
      <w:r w:rsidR="00D10580">
        <w:rPr>
          <w:rFonts w:ascii="Arial Narrow" w:hAnsi="Arial Narrow"/>
          <w:sz w:val="23"/>
          <w:szCs w:val="23"/>
        </w:rPr>
        <w:t> »</w:t>
      </w:r>
      <w:r w:rsidRPr="00036727">
        <w:rPr>
          <w:rFonts w:ascii="Arial Narrow" w:hAnsi="Arial Narrow"/>
          <w:sz w:val="23"/>
          <w:szCs w:val="23"/>
        </w:rPr>
        <w:t xml:space="preserve">, </w:t>
      </w:r>
      <w:r w:rsidR="00D10580">
        <w:rPr>
          <w:rFonts w:ascii="Arial Narrow" w:hAnsi="Arial Narrow"/>
          <w:sz w:val="23"/>
          <w:szCs w:val="23"/>
        </w:rPr>
        <w:t>« </w:t>
      </w:r>
      <w:r w:rsidRPr="00036727">
        <w:rPr>
          <w:rFonts w:ascii="Arial Narrow" w:hAnsi="Arial Narrow"/>
          <w:sz w:val="23"/>
          <w:szCs w:val="23"/>
        </w:rPr>
        <w:t>montée</w:t>
      </w:r>
      <w:r w:rsidR="00D10580">
        <w:rPr>
          <w:rFonts w:ascii="Arial Narrow" w:hAnsi="Arial Narrow"/>
          <w:sz w:val="23"/>
          <w:szCs w:val="23"/>
        </w:rPr>
        <w:t> »</w:t>
      </w:r>
      <w:r w:rsidRPr="00036727">
        <w:rPr>
          <w:rFonts w:ascii="Arial Narrow" w:hAnsi="Arial Narrow"/>
          <w:sz w:val="23"/>
          <w:szCs w:val="23"/>
        </w:rPr>
        <w:t>,</w:t>
      </w:r>
      <w:r w:rsidR="00D10580">
        <w:rPr>
          <w:rFonts w:ascii="Arial Narrow" w:hAnsi="Arial Narrow"/>
          <w:sz w:val="23"/>
          <w:szCs w:val="23"/>
        </w:rPr>
        <w:t>…) ; alors qu’il y avait une</w:t>
      </w:r>
      <w:r w:rsidRPr="00036727">
        <w:rPr>
          <w:rFonts w:ascii="Arial Narrow" w:hAnsi="Arial Narrow"/>
          <w:sz w:val="23"/>
          <w:szCs w:val="23"/>
        </w:rPr>
        <w:t xml:space="preserve"> </w:t>
      </w:r>
      <w:r w:rsidRPr="00D10580">
        <w:rPr>
          <w:rFonts w:ascii="Arial Narrow" w:hAnsi="Arial Narrow"/>
          <w:b/>
          <w:sz w:val="23"/>
          <w:szCs w:val="23"/>
        </w:rPr>
        <w:t>très faible visibilité des enjeux régionaux</w:t>
      </w:r>
      <w:r w:rsidRPr="00036727">
        <w:rPr>
          <w:rFonts w:ascii="Arial Narrow" w:hAnsi="Arial Narrow"/>
          <w:sz w:val="23"/>
          <w:szCs w:val="23"/>
        </w:rPr>
        <w:t>.</w:t>
      </w:r>
    </w:p>
    <w:p w:rsidR="00036727" w:rsidRDefault="00036727" w:rsidP="0002434E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>
        <w:rPr>
          <w:lang w:eastAsia="fr-FR"/>
        </w:rPr>
        <w:fldChar w:fldCharType="begin"/>
      </w:r>
      <w:r>
        <w:rPr>
          <w:lang w:eastAsia="fr-FR"/>
        </w:rPr>
        <w:instrText xml:space="preserve"> INCLUDEPICTURE  "cid:image001.jpg@01D13114.9DF4FB40" \* MERGEFORMATINET </w:instrText>
      </w:r>
      <w:r>
        <w:rPr>
          <w:lang w:eastAsia="fr-FR"/>
        </w:rPr>
        <w:fldChar w:fldCharType="separate"/>
      </w:r>
      <w:r w:rsidR="00D10580">
        <w:rPr>
          <w:lang w:eastAsia="fr-FR"/>
        </w:rPr>
        <w:pict>
          <v:shape id="Image 1" o:spid="_x0000_i1026" type="#_x0000_t75" style="width:483pt;height:268.5pt">
            <v:imagedata r:id="rId6" r:href="rId7" croptop="2731f"/>
          </v:shape>
        </w:pict>
      </w:r>
      <w:r>
        <w:rPr>
          <w:lang w:eastAsia="fr-FR"/>
        </w:rPr>
        <w:fldChar w:fldCharType="end"/>
      </w:r>
    </w:p>
    <w:p w:rsidR="00D50D67" w:rsidRPr="00D50D67" w:rsidRDefault="00D50D67" w:rsidP="0002434E">
      <w:pPr>
        <w:spacing w:before="120" w:after="0"/>
        <w:rPr>
          <w:rFonts w:ascii="Arial Narrow" w:hAnsi="Arial Narrow"/>
          <w:sz w:val="23"/>
          <w:szCs w:val="23"/>
        </w:rPr>
      </w:pPr>
    </w:p>
    <w:sectPr w:rsidR="00D50D67" w:rsidRPr="00D50D67" w:rsidSect="00D50D6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41049"/>
    <w:multiLevelType w:val="hybridMultilevel"/>
    <w:tmpl w:val="C3DC8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544F"/>
    <w:multiLevelType w:val="hybridMultilevel"/>
    <w:tmpl w:val="2DC2EBD8"/>
    <w:lvl w:ilvl="0" w:tplc="D764A93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1200F6"/>
    <w:multiLevelType w:val="hybridMultilevel"/>
    <w:tmpl w:val="8C842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6B3252"/>
    <w:multiLevelType w:val="hybridMultilevel"/>
    <w:tmpl w:val="C3DC8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04408"/>
    <w:multiLevelType w:val="hybridMultilevel"/>
    <w:tmpl w:val="C3DC8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1331">
    <w:abstractNumId w:val="4"/>
  </w:num>
  <w:num w:numId="2" w16cid:durableId="743139374">
    <w:abstractNumId w:val="2"/>
  </w:num>
  <w:num w:numId="3" w16cid:durableId="1820615378">
    <w:abstractNumId w:val="3"/>
  </w:num>
  <w:num w:numId="4" w16cid:durableId="1353873906">
    <w:abstractNumId w:val="1"/>
  </w:num>
  <w:num w:numId="5" w16cid:durableId="210954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D67"/>
    <w:rsid w:val="0002434E"/>
    <w:rsid w:val="00036727"/>
    <w:rsid w:val="000C4DB1"/>
    <w:rsid w:val="002C22B7"/>
    <w:rsid w:val="00360E4A"/>
    <w:rsid w:val="0051670F"/>
    <w:rsid w:val="005E613A"/>
    <w:rsid w:val="006D1F0D"/>
    <w:rsid w:val="0070177C"/>
    <w:rsid w:val="0078098E"/>
    <w:rsid w:val="007A5855"/>
    <w:rsid w:val="00937DFD"/>
    <w:rsid w:val="00BE641B"/>
    <w:rsid w:val="00BE6657"/>
    <w:rsid w:val="00BF4201"/>
    <w:rsid w:val="00D10580"/>
    <w:rsid w:val="00D50D67"/>
    <w:rsid w:val="00FA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7761E2-838B-4694-ACC9-D825AB4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13114.9DF4FB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357</Words>
  <Characters>2035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2388</CharactersWithSpaces>
  <SharedDoc>false</SharedDoc>
  <HLinks>
    <vt:vector size="6" baseType="variant">
      <vt:variant>
        <vt:i4>3080268</vt:i4>
      </vt:variant>
      <vt:variant>
        <vt:i4>4436</vt:i4>
      </vt:variant>
      <vt:variant>
        <vt:i4>1026</vt:i4>
      </vt:variant>
      <vt:variant>
        <vt:i4>1</vt:i4>
      </vt:variant>
      <vt:variant>
        <vt:lpwstr>cid:image001.jpg@01D13114.9DF4FB40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dcterms:created xsi:type="dcterms:W3CDTF">2015-12-07T16:32:00Z</dcterms:created>
  <dcterms:modified xsi:type="dcterms:W3CDTF">2015-12-07T18:01:00Z</dcterms:modified>
</cp:coreProperties>
</file>