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94963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457F39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E33098">
        <w:rPr>
          <w:rFonts w:eastAsia="Times New Roman" w:cs="Calibri"/>
          <w:b/>
          <w:i/>
          <w:color w:val="0D0D0D"/>
          <w:spacing w:val="-2"/>
          <w:sz w:val="23"/>
          <w:szCs w:val="23"/>
        </w:rPr>
        <w:t>Sondage SIG réforme constitutionnelle</w:t>
      </w:r>
    </w:p>
    <w:p w:rsidR="00E33098" w:rsidRPr="00E33098" w:rsidRDefault="00E33098" w:rsidP="00E33098">
      <w:pPr>
        <w:pStyle w:val="ListParagraph"/>
        <w:spacing w:line="264" w:lineRule="auto"/>
        <w:ind w:left="0"/>
        <w:contextualSpacing/>
        <w:jc w:val="both"/>
        <w:rPr>
          <w:rFonts w:eastAsia="Times New Roman"/>
        </w:rPr>
      </w:pPr>
      <w:r>
        <w:rPr>
          <w:rFonts w:eastAsia="Times New Roman"/>
        </w:rPr>
        <w:t>Résultats du sondage SIG sur</w:t>
      </w:r>
      <w:r w:rsidR="00785F73">
        <w:rPr>
          <w:rFonts w:eastAsia="Times New Roman"/>
        </w:rPr>
        <w:t xml:space="preserve"> la</w:t>
      </w:r>
      <w:r>
        <w:rPr>
          <w:rFonts w:eastAsia="Times New Roman"/>
        </w:rPr>
        <w:t xml:space="preserve"> réforme constitutionnelle et </w:t>
      </w:r>
      <w:r w:rsidR="00785F73">
        <w:rPr>
          <w:rFonts w:eastAsia="Times New Roman"/>
        </w:rPr>
        <w:t xml:space="preserve">la </w:t>
      </w:r>
      <w:r>
        <w:rPr>
          <w:rFonts w:eastAsia="Times New Roman"/>
        </w:rPr>
        <w:t>déchéance de nationalité</w:t>
      </w:r>
      <w:r w:rsidR="00785F73">
        <w:rPr>
          <w:rFonts w:eastAsia="Times New Roman"/>
        </w:rPr>
        <w:t> :</w:t>
      </w:r>
    </w:p>
    <w:p w:rsidR="00E33098" w:rsidRDefault="00E33098" w:rsidP="00E33098">
      <w:pPr>
        <w:pStyle w:val="ListParagraph"/>
        <w:tabs>
          <w:tab w:val="left" w:pos="426"/>
        </w:tabs>
        <w:spacing w:line="276" w:lineRule="auto"/>
        <w:ind w:left="0"/>
        <w:contextualSpacing/>
        <w:jc w:val="both"/>
        <w:rPr>
          <w:rFonts w:ascii="Times New Roman" w:hAnsi="Times New Roman"/>
          <w:sz w:val="23"/>
          <w:szCs w:val="23"/>
        </w:rPr>
      </w:pPr>
    </w:p>
    <w:p w:rsidR="00AE1C79" w:rsidRDefault="00785F73" w:rsidP="004E5F70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>
        <w:rPr>
          <w:b/>
        </w:rPr>
        <w:t>Un t</w:t>
      </w:r>
      <w:r w:rsidR="00E33098">
        <w:rPr>
          <w:b/>
        </w:rPr>
        <w:t>rès bon niveau de notoriété de la réforme elle-même </w:t>
      </w:r>
      <w:r w:rsidR="00E33098">
        <w:rPr>
          <w:rFonts w:eastAsia="Times New Roman"/>
        </w:rPr>
        <w:t>: 83% en ont « </w:t>
      </w:r>
      <w:r w:rsidR="00E33098" w:rsidRPr="00E33098">
        <w:rPr>
          <w:rFonts w:eastAsia="Times New Roman"/>
          <w:i/>
        </w:rPr>
        <w:t>entendu parler</w:t>
      </w:r>
      <w:r w:rsidR="00E33098">
        <w:rPr>
          <w:rFonts w:eastAsia="Times New Roman"/>
        </w:rPr>
        <w:t> », dont 38% « </w:t>
      </w:r>
      <w:r w:rsidR="00E33098" w:rsidRPr="00E33098">
        <w:rPr>
          <w:rFonts w:eastAsia="Times New Roman"/>
          <w:i/>
        </w:rPr>
        <w:t>savent précisément de quoi il s’agit</w:t>
      </w:r>
      <w:r w:rsidR="00E33098">
        <w:rPr>
          <w:rFonts w:eastAsia="Times New Roman"/>
        </w:rPr>
        <w:t> ». Fait rare sur les questions de notoriété : il y a assez peu de différences entre les CSP+ et CSP-.</w:t>
      </w:r>
    </w:p>
    <w:p w:rsidR="00AE1C79" w:rsidRPr="008778AA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AE1C79" w:rsidRDefault="00785F73" w:rsidP="00E33098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70% pensent que la réforme - </w:t>
      </w:r>
      <w:r w:rsidR="00E33098">
        <w:rPr>
          <w:rFonts w:eastAsia="Times New Roman"/>
        </w:rPr>
        <w:t>sans mention particulière de la déchéance de nationalité à ce stade</w:t>
      </w:r>
      <w:r>
        <w:rPr>
          <w:rFonts w:eastAsia="Times New Roman"/>
        </w:rPr>
        <w:t xml:space="preserve"> -</w:t>
      </w:r>
      <w:r w:rsidR="00E33098">
        <w:rPr>
          <w:rFonts w:eastAsia="Times New Roman"/>
        </w:rPr>
        <w:t xml:space="preserve"> </w:t>
      </w:r>
      <w:r w:rsidR="00E33098" w:rsidRPr="00E33098">
        <w:rPr>
          <w:rFonts w:eastAsia="Times New Roman"/>
          <w:b/>
        </w:rPr>
        <w:t>« </w:t>
      </w:r>
      <w:r w:rsidR="00E33098" w:rsidRPr="00E33098">
        <w:rPr>
          <w:rFonts w:eastAsia="Times New Roman"/>
          <w:b/>
          <w:i/>
        </w:rPr>
        <w:t>va plutôt dans le bon sens pour améliorer l’efficacité de la lutte contre le terrorisme</w:t>
      </w:r>
      <w:r w:rsidR="00E33098" w:rsidRPr="00E33098">
        <w:rPr>
          <w:rFonts w:eastAsia="Times New Roman"/>
          <w:b/>
        </w:rPr>
        <w:t> »</w:t>
      </w:r>
      <w:r w:rsidR="00E33098" w:rsidRPr="00E33098">
        <w:rPr>
          <w:rFonts w:eastAsia="Times New Roman"/>
        </w:rPr>
        <w:t xml:space="preserve"> ; </w:t>
      </w:r>
      <w:r w:rsidR="00E33098">
        <w:rPr>
          <w:rFonts w:eastAsia="Times New Roman"/>
        </w:rPr>
        <w:t>contre seulement 14% « </w:t>
      </w:r>
      <w:r w:rsidR="00E33098" w:rsidRPr="00A14B8C">
        <w:rPr>
          <w:rFonts w:eastAsia="Times New Roman"/>
          <w:i/>
        </w:rPr>
        <w:t>dans le mauvais sens</w:t>
      </w:r>
      <w:r w:rsidR="00E33098">
        <w:rPr>
          <w:rFonts w:eastAsia="Times New Roman"/>
        </w:rPr>
        <w:t> » (le reste ne se prononce pas).</w:t>
      </w:r>
    </w:p>
    <w:p w:rsidR="00A14B8C" w:rsidRDefault="00A14B8C" w:rsidP="00A14B8C">
      <w:pPr>
        <w:pStyle w:val="ListParagraph"/>
        <w:ind w:left="0"/>
        <w:rPr>
          <w:rFonts w:eastAsia="Times New Roman"/>
        </w:rPr>
      </w:pPr>
    </w:p>
    <w:p w:rsidR="00A14B8C" w:rsidRDefault="00A14B8C" w:rsidP="00E33098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7E271E">
        <w:rPr>
          <w:rFonts w:eastAsia="Times New Roman"/>
          <w:b/>
        </w:rPr>
        <w:t>« </w:t>
      </w:r>
      <w:r w:rsidRPr="007E271E">
        <w:rPr>
          <w:rFonts w:eastAsia="Times New Roman"/>
          <w:b/>
          <w:i/>
        </w:rPr>
        <w:t>La déchéance de nationalité</w:t>
      </w:r>
      <w:r w:rsidRPr="007E271E">
        <w:rPr>
          <w:rFonts w:eastAsia="Times New Roman"/>
          <w:i/>
        </w:rPr>
        <w:t xml:space="preserve"> français aux personnes ayant commis des actes terroristes, lorsqu’elles ont une double nationalité, même si elles sont nées françaises</w:t>
      </w:r>
      <w:r>
        <w:rPr>
          <w:rFonts w:eastAsia="Times New Roman"/>
        </w:rPr>
        <w:t xml:space="preserve"> » </w:t>
      </w:r>
      <w:r w:rsidRPr="007E271E">
        <w:rPr>
          <w:rFonts w:eastAsia="Times New Roman"/>
          <w:b/>
        </w:rPr>
        <w:t>recueille 85% d’approbation</w:t>
      </w:r>
      <w:r w:rsidRPr="007E271E">
        <w:rPr>
          <w:rFonts w:eastAsia="Times New Roman"/>
        </w:rPr>
        <w:t>, dont</w:t>
      </w:r>
      <w:r w:rsidRPr="007E271E">
        <w:rPr>
          <w:rFonts w:eastAsia="Times New Roman"/>
          <w:b/>
        </w:rPr>
        <w:t xml:space="preserve"> 63% de « </w:t>
      </w:r>
      <w:r w:rsidRPr="007E271E">
        <w:rPr>
          <w:rFonts w:eastAsia="Times New Roman"/>
          <w:b/>
          <w:i/>
        </w:rPr>
        <w:t>très favorable</w:t>
      </w:r>
      <w:r w:rsidRPr="007E271E">
        <w:rPr>
          <w:rFonts w:eastAsia="Times New Roman"/>
          <w:b/>
        </w:rPr>
        <w:t> » (intensité de soutien rare)</w:t>
      </w:r>
      <w:r>
        <w:rPr>
          <w:rFonts w:eastAsia="Times New Roman"/>
        </w:rPr>
        <w:t xml:space="preserve">. </w:t>
      </w:r>
    </w:p>
    <w:p w:rsidR="00A14B8C" w:rsidRPr="00A14B8C" w:rsidRDefault="00A14B8C" w:rsidP="00A14B8C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E96721" w:rsidRDefault="00E96721" w:rsidP="00A14B8C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7E271E">
        <w:rPr>
          <w:rFonts w:eastAsia="Times New Roman"/>
          <w:b/>
        </w:rPr>
        <w:t>Le Front de gauche y est favorable à 57%</w:t>
      </w:r>
      <w:r>
        <w:rPr>
          <w:rFonts w:eastAsia="Times New Roman"/>
        </w:rPr>
        <w:t xml:space="preserve"> (dont 42% de très favorable), </w:t>
      </w:r>
      <w:r w:rsidR="007E271E" w:rsidRPr="007E271E">
        <w:rPr>
          <w:rFonts w:eastAsia="Times New Roman"/>
          <w:b/>
        </w:rPr>
        <w:t>EELV à 77%</w:t>
      </w:r>
      <w:r w:rsidR="007E271E">
        <w:rPr>
          <w:rFonts w:eastAsia="Times New Roman"/>
        </w:rPr>
        <w:t xml:space="preserve">, </w:t>
      </w:r>
      <w:r w:rsidRPr="007E271E">
        <w:rPr>
          <w:rFonts w:eastAsia="Times New Roman"/>
          <w:b/>
        </w:rPr>
        <w:t>les sympathisants socialistes à 80%</w:t>
      </w:r>
      <w:r>
        <w:rPr>
          <w:rFonts w:eastAsia="Times New Roman"/>
        </w:rPr>
        <w:t xml:space="preserve"> (51% de très favorables), </w:t>
      </w:r>
      <w:r w:rsidR="007E271E" w:rsidRPr="007E271E">
        <w:rPr>
          <w:rFonts w:eastAsia="Times New Roman"/>
          <w:b/>
        </w:rPr>
        <w:t>la droite républicaine à 90%</w:t>
      </w:r>
      <w:r w:rsidR="007E271E">
        <w:rPr>
          <w:rFonts w:eastAsia="Times New Roman"/>
        </w:rPr>
        <w:t xml:space="preserve"> (dont 73% de très favorable : il leur sera coûteux de ne pas </w:t>
      </w:r>
      <w:proofErr w:type="spellStart"/>
      <w:r w:rsidR="007E271E">
        <w:rPr>
          <w:rFonts w:eastAsia="Times New Roman"/>
        </w:rPr>
        <w:t>la</w:t>
      </w:r>
      <w:proofErr w:type="spellEnd"/>
      <w:r w:rsidR="007E271E">
        <w:rPr>
          <w:rFonts w:eastAsia="Times New Roman"/>
        </w:rPr>
        <w:t xml:space="preserve"> voter…), </w:t>
      </w:r>
      <w:r w:rsidR="007E271E" w:rsidRPr="007E271E">
        <w:rPr>
          <w:rFonts w:eastAsia="Times New Roman"/>
          <w:b/>
        </w:rPr>
        <w:t>le FN à 97%</w:t>
      </w:r>
      <w:r w:rsidR="007E271E">
        <w:rPr>
          <w:rFonts w:eastAsia="Times New Roman"/>
        </w:rPr>
        <w:t>.</w:t>
      </w:r>
    </w:p>
    <w:p w:rsidR="00E96721" w:rsidRPr="00E96721" w:rsidRDefault="00E96721" w:rsidP="00A14B8C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7E271E" w:rsidRDefault="007E271E" w:rsidP="007E271E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Il n’y a </w:t>
      </w:r>
      <w:r w:rsidRPr="007E271E">
        <w:rPr>
          <w:rFonts w:eastAsia="Times New Roman"/>
          <w:b/>
        </w:rPr>
        <w:t>aucun clivage sociologique</w:t>
      </w:r>
      <w:r>
        <w:rPr>
          <w:rFonts w:eastAsia="Times New Roman"/>
        </w:rPr>
        <w:t> : les CSP+ soutiennent à 86%, les CSP- à 87%. Seuls les parisiens sont un peu en retrait : 80% (dont 55% de très favorables).</w:t>
      </w:r>
    </w:p>
    <w:p w:rsidR="00E96721" w:rsidRDefault="00E96721" w:rsidP="00A14B8C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A14B8C" w:rsidRDefault="00A14B8C" w:rsidP="00503F43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7E271E">
        <w:rPr>
          <w:rFonts w:eastAsia="Times New Roman"/>
          <w:b/>
        </w:rPr>
        <w:t>« </w:t>
      </w:r>
      <w:r w:rsidRPr="007E271E">
        <w:rPr>
          <w:rFonts w:eastAsia="Times New Roman"/>
          <w:b/>
          <w:i/>
        </w:rPr>
        <w:t>L’inscription dans la Constitution de l’état d’urgence</w:t>
      </w:r>
      <w:r w:rsidRPr="007E271E">
        <w:rPr>
          <w:rFonts w:eastAsia="Times New Roman"/>
          <w:b/>
        </w:rPr>
        <w:t> » recueille 86% d’approbation</w:t>
      </w:r>
      <w:r>
        <w:rPr>
          <w:rFonts w:eastAsia="Times New Roman"/>
        </w:rPr>
        <w:t xml:space="preserve"> (69% de la gauche radicale, 82% à EELV, 89% au PS, 90% à droite), dont 48% de « </w:t>
      </w:r>
      <w:r w:rsidRPr="007E271E">
        <w:rPr>
          <w:rFonts w:eastAsia="Times New Roman"/>
          <w:i/>
        </w:rPr>
        <w:t>très favorable</w:t>
      </w:r>
      <w:r>
        <w:rPr>
          <w:rFonts w:eastAsia="Times New Roman"/>
        </w:rPr>
        <w:t> »</w:t>
      </w:r>
      <w:r w:rsidR="007E271E">
        <w:rPr>
          <w:rFonts w:eastAsia="Times New Roman"/>
        </w:rPr>
        <w:t> </w:t>
      </w:r>
      <w:r w:rsidR="008B70D0">
        <w:rPr>
          <w:rFonts w:eastAsia="Times New Roman"/>
        </w:rPr>
        <w:t xml:space="preserve">- </w:t>
      </w:r>
      <w:r w:rsidR="007E271E">
        <w:rPr>
          <w:rFonts w:eastAsia="Times New Roman"/>
        </w:rPr>
        <w:t>soit une intensité un peu moindre, mais qui reste né</w:t>
      </w:r>
      <w:r w:rsidR="00503F43">
        <w:rPr>
          <w:rFonts w:eastAsia="Times New Roman"/>
        </w:rPr>
        <w:t>anmoins très é</w:t>
      </w:r>
      <w:r w:rsidR="007E271E">
        <w:rPr>
          <w:rFonts w:eastAsia="Times New Roman"/>
        </w:rPr>
        <w:t>levée</w:t>
      </w:r>
      <w:r w:rsidR="008B70D0">
        <w:rPr>
          <w:rFonts w:eastAsia="Times New Roman"/>
        </w:rPr>
        <w:t xml:space="preserve"> : </w:t>
      </w:r>
      <w:r w:rsidR="00503F43">
        <w:rPr>
          <w:rFonts w:eastAsia="Times New Roman"/>
        </w:rPr>
        <w:t>il n’y a pas de risque d’opinion à ce stade</w:t>
      </w:r>
      <w:r w:rsidR="007E271E">
        <w:rPr>
          <w:rFonts w:eastAsia="Times New Roman"/>
        </w:rPr>
        <w:t xml:space="preserve">. </w:t>
      </w:r>
      <w:r w:rsidR="00503F43" w:rsidRPr="00503F43">
        <w:rPr>
          <w:rFonts w:eastAsia="Times New Roman"/>
          <w:b/>
        </w:rPr>
        <w:t>Le Front de gauche y est favorable à 64%, EELV à 82%, le PS à 89%, la droite à 89%, le FN à 92%</w:t>
      </w:r>
      <w:r w:rsidR="00503F43">
        <w:rPr>
          <w:rFonts w:eastAsia="Times New Roman"/>
        </w:rPr>
        <w:t>.</w:t>
      </w:r>
    </w:p>
    <w:p w:rsidR="00A14B8C" w:rsidRPr="00503F43" w:rsidRDefault="00A14B8C" w:rsidP="00A14B8C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03F43" w:rsidRPr="0071029E" w:rsidRDefault="00503F43" w:rsidP="00503F43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  <w:spacing w:val="-2"/>
        </w:rPr>
      </w:pPr>
      <w:r w:rsidRPr="0071029E">
        <w:rPr>
          <w:rFonts w:eastAsia="Times New Roman"/>
          <w:b/>
          <w:spacing w:val="-2"/>
        </w:rPr>
        <w:t xml:space="preserve">L’argument du manque d’efficacité ne </w:t>
      </w:r>
      <w:r w:rsidR="0071029E" w:rsidRPr="0071029E">
        <w:rPr>
          <w:rFonts w:eastAsia="Times New Roman"/>
          <w:b/>
          <w:spacing w:val="-2"/>
        </w:rPr>
        <w:t>fait pas bouger les lignes</w:t>
      </w:r>
      <w:r w:rsidRPr="0071029E">
        <w:rPr>
          <w:rFonts w:eastAsia="Times New Roman"/>
          <w:spacing w:val="-2"/>
        </w:rPr>
        <w:t xml:space="preserve"> : une majorité pense que ce n’est pas une question d’efficacité </w:t>
      </w:r>
      <w:r w:rsidR="008B70D0">
        <w:rPr>
          <w:rFonts w:eastAsia="Times New Roman"/>
          <w:spacing w:val="-2"/>
        </w:rPr>
        <w:t>mais</w:t>
      </w:r>
      <w:r w:rsidRPr="0071029E">
        <w:rPr>
          <w:rFonts w:eastAsia="Times New Roman"/>
          <w:spacing w:val="-2"/>
        </w:rPr>
        <w:t xml:space="preserve"> de principe. </w:t>
      </w:r>
      <w:r w:rsidRPr="0071029E">
        <w:rPr>
          <w:rFonts w:eastAsia="Times New Roman"/>
          <w:b/>
          <w:spacing w:val="-2"/>
        </w:rPr>
        <w:t>Les résultats sont très stables par rapport à avant la polémique</w:t>
      </w:r>
      <w:r w:rsidR="008B70D0" w:rsidRPr="008B70D0">
        <w:rPr>
          <w:rFonts w:eastAsia="Times New Roman"/>
          <w:spacing w:val="-2"/>
        </w:rPr>
        <w:t xml:space="preserve"> (le mode de recueil différent </w:t>
      </w:r>
      <w:r w:rsidR="008B70D0">
        <w:rPr>
          <w:rFonts w:eastAsia="Times New Roman"/>
          <w:spacing w:val="-2"/>
        </w:rPr>
        <w:t>-</w:t>
      </w:r>
      <w:r w:rsidR="008B70D0" w:rsidRPr="008B70D0">
        <w:rPr>
          <w:rFonts w:eastAsia="Times New Roman"/>
          <w:spacing w:val="-2"/>
        </w:rPr>
        <w:t xml:space="preserve"> en ligne contre téléphone</w:t>
      </w:r>
      <w:r w:rsidR="008B70D0">
        <w:rPr>
          <w:rFonts w:eastAsia="Times New Roman"/>
          <w:spacing w:val="-2"/>
        </w:rPr>
        <w:t xml:space="preserve"> -</w:t>
      </w:r>
      <w:r w:rsidR="008B70D0" w:rsidRPr="008B70D0">
        <w:rPr>
          <w:rFonts w:eastAsia="Times New Roman"/>
          <w:spacing w:val="-2"/>
        </w:rPr>
        <w:t xml:space="preserve"> peut peut-être </w:t>
      </w:r>
      <w:r w:rsidR="008B70D0">
        <w:rPr>
          <w:rFonts w:eastAsia="Times New Roman"/>
          <w:spacing w:val="-2"/>
        </w:rPr>
        <w:t>biaiser un peu</w:t>
      </w:r>
      <w:r w:rsidR="008B70D0" w:rsidRPr="008B70D0">
        <w:rPr>
          <w:rFonts w:eastAsia="Times New Roman"/>
          <w:spacing w:val="-2"/>
        </w:rPr>
        <w:t>, mais à la marge)</w:t>
      </w:r>
      <w:r w:rsidRPr="008B70D0">
        <w:rPr>
          <w:rFonts w:eastAsia="Times New Roman"/>
          <w:spacing w:val="-2"/>
        </w:rPr>
        <w:t>.</w:t>
      </w:r>
    </w:p>
    <w:p w:rsidR="00503F43" w:rsidRDefault="00BA7F0E" w:rsidP="00BA7F0E">
      <w:pPr>
        <w:pStyle w:val="ListParagraph"/>
        <w:ind w:left="0"/>
        <w:jc w:val="center"/>
        <w:rPr>
          <w:rFonts w:eastAsia="Times New Roman"/>
        </w:rPr>
      </w:pPr>
      <w:r w:rsidRPr="00503F43"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189.75pt">
            <v:imagedata r:id="rId7" o:title=""/>
          </v:shape>
        </w:pict>
      </w:r>
    </w:p>
    <w:p w:rsidR="008B70D0" w:rsidRDefault="008B70D0" w:rsidP="00503F43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b/>
        </w:rPr>
      </w:pPr>
    </w:p>
    <w:p w:rsidR="00BA7F0E" w:rsidRDefault="00BA7F0E" w:rsidP="00503F43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71029E">
        <w:rPr>
          <w:rFonts w:eastAsia="Times New Roman"/>
          <w:b/>
        </w:rPr>
        <w:t>A gauche, 57% pensent que « </w:t>
      </w:r>
      <w:r w:rsidRPr="0071029E">
        <w:rPr>
          <w:rFonts w:eastAsia="Times New Roman"/>
          <w:b/>
          <w:i/>
        </w:rPr>
        <w:t>ce ne sera pas efficace mais il faut quand même l’appliquer car c’est une question de principe</w:t>
      </w:r>
      <w:r w:rsidRPr="0071029E">
        <w:rPr>
          <w:rFonts w:eastAsia="Times New Roman"/>
          <w:b/>
        </w:rPr>
        <w:t> »</w:t>
      </w:r>
      <w:r>
        <w:rPr>
          <w:rFonts w:eastAsia="Times New Roman"/>
        </w:rPr>
        <w:t>, dont 46% au Front de gauche, 59% à EELV, 61% au PS.</w:t>
      </w:r>
    </w:p>
    <w:p w:rsidR="00BA7F0E" w:rsidRPr="00BA7F0E" w:rsidRDefault="00BA7F0E" w:rsidP="00503F43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03F43" w:rsidRPr="00503F43" w:rsidRDefault="00BA7F0E" w:rsidP="00503F43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71029E">
        <w:rPr>
          <w:rFonts w:eastAsia="Times New Roman"/>
          <w:b/>
        </w:rPr>
        <w:t>Les réponses « </w:t>
      </w:r>
      <w:r w:rsidRPr="0071029E">
        <w:rPr>
          <w:rFonts w:eastAsia="Times New Roman"/>
          <w:b/>
          <w:i/>
        </w:rPr>
        <w:t>ce ne sera pas efficace donc il ne faut pas l’appliquer</w:t>
      </w:r>
      <w:r w:rsidRPr="0071029E">
        <w:rPr>
          <w:rFonts w:eastAsia="Times New Roman"/>
          <w:b/>
        </w:rPr>
        <w:t> » plafonnent à 13% au PS, 24% à EELV et 39% au Front de gauche</w:t>
      </w:r>
      <w:r>
        <w:rPr>
          <w:rFonts w:eastAsia="Times New Roman"/>
        </w:rPr>
        <w:t>.</w:t>
      </w:r>
    </w:p>
    <w:p w:rsidR="00503F43" w:rsidRDefault="00503F43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71029E" w:rsidRDefault="0071029E" w:rsidP="0071029E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  <w:spacing w:val="-2"/>
        </w:rPr>
      </w:pPr>
      <w:r w:rsidRPr="0071029E">
        <w:rPr>
          <w:rFonts w:eastAsia="Times New Roman"/>
          <w:b/>
          <w:spacing w:val="-2"/>
        </w:rPr>
        <w:t xml:space="preserve">L’argument </w:t>
      </w:r>
      <w:r>
        <w:rPr>
          <w:rFonts w:eastAsia="Times New Roman"/>
          <w:b/>
          <w:spacing w:val="-2"/>
        </w:rPr>
        <w:t xml:space="preserve">de la différence de traitement entre les binationaux et les autres ne convainc pas </w:t>
      </w:r>
      <w:r w:rsidRPr="0071029E">
        <w:rPr>
          <w:rFonts w:eastAsia="Times New Roman"/>
          <w:b/>
          <w:spacing w:val="-2"/>
        </w:rPr>
        <w:t>plus </w:t>
      </w:r>
      <w:r w:rsidRPr="0071029E">
        <w:rPr>
          <w:rFonts w:eastAsia="Times New Roman"/>
          <w:spacing w:val="-2"/>
        </w:rPr>
        <w:t>:</w:t>
      </w:r>
    </w:p>
    <w:p w:rsidR="0071029E" w:rsidRPr="0071029E" w:rsidRDefault="0071029E" w:rsidP="0071029E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275FFE" w:rsidRDefault="0071029E" w:rsidP="0071029E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  <w:spacing w:val="-2"/>
        </w:rPr>
      </w:pPr>
      <w:r w:rsidRPr="0071029E">
        <w:rPr>
          <w:rFonts w:eastAsia="Times New Roman"/>
        </w:rPr>
        <w:t>seuls</w:t>
      </w:r>
      <w:r w:rsidRPr="0071029E">
        <w:rPr>
          <w:rFonts w:eastAsia="Times New Roman"/>
          <w:b/>
          <w:spacing w:val="-2"/>
        </w:rPr>
        <w:t xml:space="preserve"> 14% pensent que « </w:t>
      </w:r>
      <w:r w:rsidRPr="0071029E">
        <w:rPr>
          <w:rFonts w:eastAsia="Times New Roman"/>
          <w:b/>
          <w:i/>
          <w:spacing w:val="-2"/>
        </w:rPr>
        <w:t>cette différence de traitement est injuste, il faut renoncer à la déchéance de la nationalité des binationaux</w:t>
      </w:r>
      <w:r w:rsidRPr="0071029E">
        <w:rPr>
          <w:rFonts w:eastAsia="Times New Roman"/>
          <w:b/>
          <w:spacing w:val="-2"/>
        </w:rPr>
        <w:t> »</w:t>
      </w:r>
      <w:r w:rsidR="00275FFE">
        <w:rPr>
          <w:rFonts w:eastAsia="Times New Roman"/>
          <w:spacing w:val="-2"/>
        </w:rPr>
        <w:t xml:space="preserve">, dont 23% au PS, 26% à EELV et 46% au Front de gauche (soit des scores proches des </w:t>
      </w:r>
      <w:r w:rsidR="008B70D0">
        <w:rPr>
          <w:rFonts w:eastAsia="Times New Roman"/>
          <w:spacing w:val="-2"/>
        </w:rPr>
        <w:t>oppositions</w:t>
      </w:r>
      <w:r w:rsidR="00275FFE">
        <w:rPr>
          <w:rFonts w:eastAsia="Times New Roman"/>
          <w:spacing w:val="-2"/>
        </w:rPr>
        <w:t xml:space="preserve"> à la mesure).</w:t>
      </w:r>
    </w:p>
    <w:p w:rsidR="00275FFE" w:rsidRPr="00275FFE" w:rsidRDefault="00275FFE" w:rsidP="00275FFE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275FFE" w:rsidRPr="00275FFE" w:rsidRDefault="0071029E" w:rsidP="00275FFE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  <w:spacing w:val="-2"/>
        </w:rPr>
      </w:pPr>
      <w:r>
        <w:rPr>
          <w:rFonts w:eastAsia="Times New Roman"/>
          <w:spacing w:val="-2"/>
        </w:rPr>
        <w:t xml:space="preserve">51% pensent que </w:t>
      </w:r>
      <w:r w:rsidR="00275FFE">
        <w:rPr>
          <w:rFonts w:eastAsia="Times New Roman"/>
          <w:spacing w:val="-2"/>
        </w:rPr>
        <w:t>« </w:t>
      </w:r>
      <w:r w:rsidR="00275FFE" w:rsidRPr="00275FFE">
        <w:rPr>
          <w:rFonts w:eastAsia="Times New Roman"/>
          <w:i/>
          <w:spacing w:val="-2"/>
        </w:rPr>
        <w:t>malgré cette différence de traitement, il faut quand même l’appliquer car c’est une question de principe</w:t>
      </w:r>
      <w:r w:rsidR="00275FFE">
        <w:rPr>
          <w:rFonts w:eastAsia="Times New Roman"/>
          <w:spacing w:val="-2"/>
        </w:rPr>
        <w:t xml:space="preserve"> » (45% à gauche) ; et </w:t>
      </w:r>
      <w:r w:rsidR="00275FFE" w:rsidRPr="00275FFE">
        <w:rPr>
          <w:rFonts w:eastAsia="Times New Roman"/>
          <w:spacing w:val="-2"/>
        </w:rPr>
        <w:t>26% pensent même que « </w:t>
      </w:r>
      <w:r w:rsidR="00275FFE" w:rsidRPr="00275FFE">
        <w:rPr>
          <w:rFonts w:eastAsia="Times New Roman"/>
          <w:i/>
          <w:spacing w:val="-2"/>
        </w:rPr>
        <w:t>pour remédier à cette injustice, il faut étendre la déchéance de la nationalité à tous les Français</w:t>
      </w:r>
      <w:r w:rsidR="00275FFE" w:rsidRPr="00275FFE">
        <w:rPr>
          <w:rFonts w:eastAsia="Times New Roman"/>
          <w:spacing w:val="-2"/>
        </w:rPr>
        <w:t> » (dont 21% à gauche).</w:t>
      </w:r>
    </w:p>
    <w:p w:rsidR="0071029E" w:rsidRDefault="0071029E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66A52" w:rsidRDefault="00566A52" w:rsidP="00566A52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Avec une question proche, qui </w:t>
      </w:r>
      <w:r w:rsidR="000E438A">
        <w:rPr>
          <w:rFonts w:eastAsia="Times New Roman"/>
        </w:rPr>
        <w:t>rappelle que la déchéance de nationalité existe déjà pour les binationaux naturalisés</w:t>
      </w:r>
      <w:r>
        <w:rPr>
          <w:rFonts w:eastAsia="Times New Roman"/>
        </w:rPr>
        <w:t>, 77% pensent que « </w:t>
      </w:r>
      <w:r w:rsidRPr="00566A52">
        <w:rPr>
          <w:rFonts w:eastAsia="Times New Roman"/>
          <w:i/>
        </w:rPr>
        <w:t>cette extension est justifiée, car il faut traiter tous les binationaux de la même manière, sans faire de distinction sur la façon dont la nationalité française a été acquise</w:t>
      </w:r>
      <w:r>
        <w:rPr>
          <w:rFonts w:eastAsia="Times New Roman"/>
        </w:rPr>
        <w:t> » (72% au PS), contre 23% qui estiment que « </w:t>
      </w:r>
      <w:r w:rsidRPr="00566A52">
        <w:rPr>
          <w:rFonts w:eastAsia="Times New Roman"/>
          <w:i/>
        </w:rPr>
        <w:t>cette extension n’est pas justifiée, car toutes les personnes nées françaises ne seront alors plus traitées de la même manière, selon qu’elles ont également une autre nationalité ou pas</w:t>
      </w:r>
      <w:r>
        <w:rPr>
          <w:rFonts w:eastAsia="Times New Roman"/>
        </w:rPr>
        <w:t> » (28% au PS).</w:t>
      </w:r>
    </w:p>
    <w:p w:rsidR="00566A52" w:rsidRDefault="00566A52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0E438A" w:rsidRDefault="000E438A" w:rsidP="000E438A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1F1C6F">
        <w:rPr>
          <w:rFonts w:eastAsia="Times New Roman"/>
          <w:b/>
        </w:rPr>
        <w:t xml:space="preserve">Un retrait de la mesure aurait certainement été mal </w:t>
      </w:r>
      <w:r w:rsidR="008B70D0">
        <w:rPr>
          <w:rFonts w:eastAsia="Times New Roman"/>
          <w:b/>
        </w:rPr>
        <w:t>reçu</w:t>
      </w:r>
      <w:r>
        <w:rPr>
          <w:rFonts w:eastAsia="Times New Roman"/>
        </w:rPr>
        <w:t> : 21% seulement pensent que « </w:t>
      </w:r>
      <w:r w:rsidRPr="001F1C6F">
        <w:rPr>
          <w:rFonts w:eastAsia="Times New Roman"/>
          <w:i/>
        </w:rPr>
        <w:t>le Président aurait dû tenir compte des critiques exprimées par son propre camp et ne pas accentuer les divisions à gauche</w:t>
      </w:r>
      <w:r>
        <w:rPr>
          <w:rFonts w:eastAsia="Times New Roman"/>
        </w:rPr>
        <w:t xml:space="preserve"> » ; contre </w:t>
      </w:r>
      <w:r w:rsidRPr="001F1C6F">
        <w:rPr>
          <w:rFonts w:eastAsia="Times New Roman"/>
          <w:b/>
        </w:rPr>
        <w:t xml:space="preserve">79% qui estiment que </w:t>
      </w:r>
      <w:r w:rsidR="001F1C6F" w:rsidRPr="001F1C6F">
        <w:rPr>
          <w:rFonts w:eastAsia="Times New Roman"/>
          <w:b/>
        </w:rPr>
        <w:t>le Président « </w:t>
      </w:r>
      <w:r w:rsidR="001F1C6F" w:rsidRPr="001F1C6F">
        <w:rPr>
          <w:rFonts w:eastAsia="Times New Roman"/>
          <w:b/>
          <w:i/>
        </w:rPr>
        <w:t>a eu raison de maintenir cette mesure</w:t>
      </w:r>
      <w:r w:rsidR="001F1C6F" w:rsidRPr="001F1C6F">
        <w:rPr>
          <w:rFonts w:eastAsia="Times New Roman"/>
          <w:b/>
        </w:rPr>
        <w:t> » car il « </w:t>
      </w:r>
      <w:r w:rsidR="001F1C6F" w:rsidRPr="001F1C6F">
        <w:rPr>
          <w:rFonts w:eastAsia="Times New Roman"/>
          <w:b/>
          <w:i/>
        </w:rPr>
        <w:t>respecte ainsi les engagements qu’il a pris après les attentats devant les Français et le Parlement</w:t>
      </w:r>
      <w:r w:rsidR="001F1C6F" w:rsidRPr="001F1C6F">
        <w:rPr>
          <w:rFonts w:eastAsia="Times New Roman"/>
          <w:b/>
        </w:rPr>
        <w:t> »</w:t>
      </w:r>
      <w:r w:rsidR="001F1C6F">
        <w:rPr>
          <w:rFonts w:eastAsia="Times New Roman"/>
          <w:b/>
        </w:rPr>
        <w:t xml:space="preserve"> </w:t>
      </w:r>
      <w:r w:rsidR="001F1C6F" w:rsidRPr="001F1C6F">
        <w:rPr>
          <w:rFonts w:eastAsia="Times New Roman"/>
        </w:rPr>
        <w:t>(81% au PS).</w:t>
      </w:r>
    </w:p>
    <w:p w:rsidR="001F1C6F" w:rsidRPr="001F1C6F" w:rsidRDefault="001F1C6F" w:rsidP="001F1C6F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1F1C6F" w:rsidRDefault="00C9411B" w:rsidP="00C9411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>Les partisans d’une remise en cause pour ne pas accentuer les divisions à gauche</w:t>
      </w:r>
      <w:r w:rsidR="00FF5390">
        <w:rPr>
          <w:rFonts w:eastAsia="Times New Roman"/>
        </w:rPr>
        <w:t xml:space="preserve"> se recrutent </w:t>
      </w:r>
      <w:r w:rsidR="008B70D0">
        <w:rPr>
          <w:rFonts w:eastAsia="Times New Roman"/>
        </w:rPr>
        <w:t xml:space="preserve">assez </w:t>
      </w:r>
      <w:r w:rsidR="00FF5390">
        <w:rPr>
          <w:rFonts w:eastAsia="Times New Roman"/>
        </w:rPr>
        <w:t>peu au PS (19% seulement),</w:t>
      </w:r>
      <w:r>
        <w:rPr>
          <w:rFonts w:eastAsia="Times New Roman"/>
        </w:rPr>
        <w:t xml:space="preserve"> </w:t>
      </w:r>
      <w:r w:rsidR="00FF5390">
        <w:rPr>
          <w:rFonts w:eastAsia="Times New Roman"/>
        </w:rPr>
        <w:t>restent contenus à EELV (35%), sont un peu plus nombreux au Front de gauche (50%) sans être toutefois nettement majoritaires.</w:t>
      </w:r>
    </w:p>
    <w:p w:rsidR="00FF5390" w:rsidRPr="00FF5390" w:rsidRDefault="00FF5390" w:rsidP="00C9411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FF5390" w:rsidRDefault="00FF5390" w:rsidP="00C9411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>Les hypothèses de « mesure de substitution » (type indignité nationale) n’ont pas été testées, mais recueilleraient sans doute des scores proches.</w:t>
      </w:r>
    </w:p>
    <w:p w:rsidR="00C9411B" w:rsidRDefault="00C9411B" w:rsidP="00C9411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0E438A" w:rsidRDefault="00FF5390" w:rsidP="00FF5390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FF5390">
        <w:rPr>
          <w:rFonts w:eastAsia="Times New Roman"/>
          <w:b/>
        </w:rPr>
        <w:t>Trois autres questions permettent de mesurer que</w:t>
      </w:r>
      <w:r w:rsidR="008B70D0">
        <w:rPr>
          <w:rFonts w:eastAsia="Times New Roman"/>
          <w:b/>
        </w:rPr>
        <w:t>,</w:t>
      </w:r>
      <w:r w:rsidRPr="00FF5390">
        <w:rPr>
          <w:rFonts w:eastAsia="Times New Roman"/>
          <w:b/>
        </w:rPr>
        <w:t xml:space="preserve"> malgré cette forte adhésion, le sujet reste</w:t>
      </w:r>
      <w:r>
        <w:rPr>
          <w:rFonts w:eastAsia="Times New Roman"/>
          <w:b/>
        </w:rPr>
        <w:t xml:space="preserve"> somme toute</w:t>
      </w:r>
      <w:r w:rsidRPr="00FF5390">
        <w:rPr>
          <w:rFonts w:eastAsia="Times New Roman"/>
          <w:b/>
        </w:rPr>
        <w:t xml:space="preserve"> assez secondaire aux yeux des Français</w:t>
      </w:r>
      <w:r>
        <w:rPr>
          <w:rFonts w:eastAsia="Times New Roman"/>
          <w:b/>
        </w:rPr>
        <w:t> </w:t>
      </w:r>
      <w:r>
        <w:rPr>
          <w:rFonts w:eastAsia="Times New Roman"/>
        </w:rPr>
        <w:t>:</w:t>
      </w:r>
    </w:p>
    <w:p w:rsidR="00FF5390" w:rsidRDefault="00FF5390" w:rsidP="00FF5390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b/>
        </w:rPr>
      </w:pPr>
    </w:p>
    <w:p w:rsidR="005D42D4" w:rsidRDefault="005D42D4" w:rsidP="005D42D4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 w:rsidRPr="005D42D4">
        <w:rPr>
          <w:rFonts w:eastAsia="Times New Roman"/>
          <w:b/>
        </w:rPr>
        <w:t xml:space="preserve">Majoritairement, et malgré l’intensité de la polémique, il n’a </w:t>
      </w:r>
      <w:r>
        <w:rPr>
          <w:rFonts w:eastAsia="Times New Roman"/>
          <w:b/>
        </w:rPr>
        <w:t>« </w:t>
      </w:r>
      <w:r w:rsidRPr="005D42D4">
        <w:rPr>
          <w:rFonts w:eastAsia="Times New Roman"/>
          <w:b/>
          <w:i/>
        </w:rPr>
        <w:t>pas eu d’impact</w:t>
      </w:r>
      <w:r>
        <w:rPr>
          <w:rFonts w:eastAsia="Times New Roman"/>
          <w:b/>
        </w:rPr>
        <w:t> »</w:t>
      </w:r>
      <w:r w:rsidRPr="005D42D4">
        <w:rPr>
          <w:rFonts w:eastAsia="Times New Roman"/>
          <w:b/>
        </w:rPr>
        <w:t xml:space="preserve"> sur l’image du PR </w:t>
      </w:r>
      <w:r>
        <w:rPr>
          <w:rFonts w:eastAsia="Times New Roman"/>
          <w:b/>
        </w:rPr>
        <w:t>(56%) ni</w:t>
      </w:r>
      <w:r w:rsidRPr="005D42D4">
        <w:rPr>
          <w:rFonts w:eastAsia="Times New Roman"/>
          <w:b/>
        </w:rPr>
        <w:t xml:space="preserve"> du PM</w:t>
      </w:r>
      <w:r>
        <w:rPr>
          <w:rFonts w:eastAsia="Times New Roman"/>
          <w:b/>
        </w:rPr>
        <w:t xml:space="preserve"> (60%)</w:t>
      </w:r>
      <w:r>
        <w:rPr>
          <w:rFonts w:eastAsia="Times New Roman"/>
        </w:rPr>
        <w:t>.</w:t>
      </w:r>
    </w:p>
    <w:p w:rsidR="005D42D4" w:rsidRPr="005D42D4" w:rsidRDefault="005D42D4" w:rsidP="005D42D4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D42D4" w:rsidRPr="005D42D4" w:rsidRDefault="008B70D0" w:rsidP="005D42D4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8B70D0">
        <w:rPr>
          <w:rFonts w:eastAsia="Times New Roman"/>
        </w:rPr>
        <w:t>Mais quand</w:t>
      </w:r>
      <w:r w:rsidR="005D42D4" w:rsidRPr="008B70D0">
        <w:rPr>
          <w:rFonts w:eastAsia="Times New Roman"/>
        </w:rPr>
        <w:t xml:space="preserve"> il y en a eu, l’impact est </w:t>
      </w:r>
      <w:r w:rsidR="001D3EA5" w:rsidRPr="008B70D0">
        <w:rPr>
          <w:rFonts w:eastAsia="Times New Roman"/>
        </w:rPr>
        <w:t>plutôt</w:t>
      </w:r>
      <w:r w:rsidR="005D42D4" w:rsidRPr="008B70D0">
        <w:rPr>
          <w:rFonts w:eastAsia="Times New Roman"/>
        </w:rPr>
        <w:t xml:space="preserve"> bénéfique</w:t>
      </w:r>
      <w:r w:rsidR="005D42D4">
        <w:rPr>
          <w:rFonts w:eastAsia="Times New Roman"/>
        </w:rPr>
        <w:t> : 26% jugent que la décision de maintenir la mesure donne « </w:t>
      </w:r>
      <w:r w:rsidR="005D42D4" w:rsidRPr="005D42D4">
        <w:rPr>
          <w:rFonts w:eastAsia="Times New Roman"/>
          <w:i/>
        </w:rPr>
        <w:t>une meilleure image</w:t>
      </w:r>
      <w:r w:rsidR="005D42D4">
        <w:rPr>
          <w:rFonts w:eastAsia="Times New Roman"/>
        </w:rPr>
        <w:t> » du PR contre 18% « </w:t>
      </w:r>
      <w:r w:rsidR="005D42D4" w:rsidRPr="005D42D4">
        <w:rPr>
          <w:rFonts w:eastAsia="Times New Roman"/>
          <w:i/>
        </w:rPr>
        <w:t>une moins bonne image</w:t>
      </w:r>
      <w:r w:rsidR="005D42D4">
        <w:rPr>
          <w:rFonts w:eastAsia="Times New Roman"/>
        </w:rPr>
        <w:t> » (22% / 18% pour le PM).</w:t>
      </w:r>
      <w:r w:rsidR="001D3EA5">
        <w:rPr>
          <w:rFonts w:eastAsia="Times New Roman"/>
        </w:rPr>
        <w:t xml:space="preserve"> Les contestations </w:t>
      </w:r>
      <w:r w:rsidR="00035311">
        <w:rPr>
          <w:rFonts w:eastAsia="Times New Roman"/>
        </w:rPr>
        <w:t>sont là-encore contenues à EELV (26%), un peu plus fortes au</w:t>
      </w:r>
      <w:r w:rsidR="001D3EA5">
        <w:rPr>
          <w:rFonts w:eastAsia="Times New Roman"/>
        </w:rPr>
        <w:t xml:space="preserve"> Front de gauche (43%) </w:t>
      </w:r>
      <w:r w:rsidR="00035311">
        <w:rPr>
          <w:rFonts w:eastAsia="Times New Roman"/>
        </w:rPr>
        <w:t>sans être écrasantes (19% des électeurs Front de gauche jugent même que cela leur donne une « </w:t>
      </w:r>
      <w:r w:rsidR="00035311" w:rsidRPr="00035311">
        <w:rPr>
          <w:rFonts w:eastAsia="Times New Roman"/>
          <w:i/>
        </w:rPr>
        <w:t>meilleure image</w:t>
      </w:r>
      <w:r w:rsidR="00035311">
        <w:rPr>
          <w:rFonts w:eastAsia="Times New Roman"/>
        </w:rPr>
        <w:t> » du Président…).</w:t>
      </w:r>
    </w:p>
    <w:p w:rsidR="005D42D4" w:rsidRPr="001D3EA5" w:rsidRDefault="00035311" w:rsidP="00035311">
      <w:pPr>
        <w:pStyle w:val="ListParagraph"/>
        <w:tabs>
          <w:tab w:val="left" w:pos="3905"/>
        </w:tabs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ab/>
      </w:r>
    </w:p>
    <w:p w:rsidR="00FF5390" w:rsidRDefault="001D3EA5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A noter que </w:t>
      </w:r>
      <w:r w:rsidRPr="0093147C">
        <w:rPr>
          <w:rFonts w:eastAsia="Times New Roman"/>
          <w:b/>
        </w:rPr>
        <w:t>les sympathisants PS</w:t>
      </w:r>
      <w:r>
        <w:rPr>
          <w:rFonts w:eastAsia="Times New Roman"/>
        </w:rPr>
        <w:t xml:space="preserve"> (et UDI) se détachent nettement : pour </w:t>
      </w:r>
      <w:r w:rsidRPr="0093147C">
        <w:rPr>
          <w:rFonts w:eastAsia="Times New Roman"/>
          <w:b/>
        </w:rPr>
        <w:t>42% d’entre eux</w:t>
      </w:r>
      <w:r>
        <w:rPr>
          <w:rFonts w:eastAsia="Times New Roman"/>
        </w:rPr>
        <w:t xml:space="preserve"> (40% pour l’UDI) </w:t>
      </w:r>
      <w:r w:rsidRPr="0093147C">
        <w:rPr>
          <w:rFonts w:eastAsia="Times New Roman"/>
          <w:b/>
        </w:rPr>
        <w:t>cela leur a donné « </w:t>
      </w:r>
      <w:r w:rsidRPr="0093147C">
        <w:rPr>
          <w:rFonts w:eastAsia="Times New Roman"/>
          <w:b/>
          <w:i/>
        </w:rPr>
        <w:t>une meilleure image</w:t>
      </w:r>
      <w:r w:rsidRPr="0093147C">
        <w:rPr>
          <w:rFonts w:eastAsia="Times New Roman"/>
          <w:b/>
        </w:rPr>
        <w:t> » du PR</w:t>
      </w:r>
      <w:r w:rsidR="0093147C">
        <w:rPr>
          <w:rFonts w:eastAsia="Times New Roman"/>
        </w:rPr>
        <w:t xml:space="preserve">, </w:t>
      </w:r>
      <w:r>
        <w:rPr>
          <w:rFonts w:eastAsia="Times New Roman"/>
        </w:rPr>
        <w:t>contre 18% (20% à l’UDI) une « </w:t>
      </w:r>
      <w:r w:rsidRPr="0093147C">
        <w:rPr>
          <w:rFonts w:eastAsia="Times New Roman"/>
          <w:i/>
        </w:rPr>
        <w:t>moins bonne image</w:t>
      </w:r>
      <w:r>
        <w:rPr>
          <w:rFonts w:eastAsia="Times New Roman"/>
        </w:rPr>
        <w:t> »</w:t>
      </w:r>
      <w:r w:rsidR="00035311">
        <w:rPr>
          <w:rFonts w:eastAsia="Times New Roman"/>
        </w:rPr>
        <w:t>. L</w:t>
      </w:r>
      <w:r w:rsidR="0093147C">
        <w:rPr>
          <w:rFonts w:eastAsia="Times New Roman"/>
        </w:rPr>
        <w:t>a capacité à s’élever au-dessus des calculs politiques reste toujours plébiscitée, y compris dans son camp.</w:t>
      </w:r>
    </w:p>
    <w:p w:rsidR="00FF5390" w:rsidRDefault="00FF5390" w:rsidP="0093147C">
      <w:pPr>
        <w:pStyle w:val="ListParagraph"/>
        <w:spacing w:line="264" w:lineRule="auto"/>
        <w:ind w:left="284"/>
        <w:contextualSpacing/>
        <w:jc w:val="center"/>
        <w:rPr>
          <w:rFonts w:eastAsia="Times New Roman"/>
        </w:rPr>
      </w:pPr>
    </w:p>
    <w:p w:rsidR="00E67C3E" w:rsidRPr="00A71705" w:rsidRDefault="0093147C" w:rsidP="00A71705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  <w:i/>
        </w:rPr>
      </w:pPr>
      <w:r w:rsidRPr="008C7050">
        <w:rPr>
          <w:rFonts w:eastAsia="Times New Roman"/>
          <w:b/>
        </w:rPr>
        <w:t>Malgré la polémique lancée par la droite, la question de</w:t>
      </w:r>
      <w:r w:rsidR="008C7050">
        <w:rPr>
          <w:rFonts w:eastAsia="Times New Roman"/>
          <w:b/>
        </w:rPr>
        <w:t xml:space="preserve"> la présence de</w:t>
      </w:r>
      <w:r w:rsidRPr="008C7050">
        <w:rPr>
          <w:rFonts w:eastAsia="Times New Roman"/>
          <w:b/>
        </w:rPr>
        <w:t xml:space="preserve"> Ch. Taubira</w:t>
      </w:r>
      <w:r w:rsidR="008C7050">
        <w:rPr>
          <w:rFonts w:eastAsia="Times New Roman"/>
          <w:b/>
        </w:rPr>
        <w:t xml:space="preserve"> au gouvernement</w:t>
      </w:r>
      <w:r w:rsidRPr="008C7050">
        <w:rPr>
          <w:rFonts w:eastAsia="Times New Roman"/>
          <w:b/>
        </w:rPr>
        <w:t xml:space="preserve"> reste contenue</w:t>
      </w:r>
      <w:r w:rsidR="00E67C3E" w:rsidRPr="00A71705">
        <w:rPr>
          <w:rFonts w:eastAsia="Times New Roman"/>
        </w:rPr>
        <w:t>.</w:t>
      </w:r>
      <w:r>
        <w:rPr>
          <w:rFonts w:eastAsia="Times New Roman"/>
        </w:rPr>
        <w:t xml:space="preserve"> 55% souhaitent qu’en raison des critiques qu’elle a émis, elle </w:t>
      </w:r>
      <w:r w:rsidR="00035311">
        <w:rPr>
          <w:rFonts w:eastAsia="Times New Roman"/>
        </w:rPr>
        <w:t>« </w:t>
      </w:r>
      <w:r w:rsidRPr="00035311">
        <w:rPr>
          <w:rFonts w:eastAsia="Times New Roman"/>
          <w:i/>
        </w:rPr>
        <w:t>démissionne</w:t>
      </w:r>
      <w:r w:rsidR="00035311">
        <w:rPr>
          <w:rFonts w:eastAsia="Times New Roman"/>
        </w:rPr>
        <w:t> »</w:t>
      </w:r>
      <w:r>
        <w:rPr>
          <w:rFonts w:eastAsia="Times New Roman"/>
        </w:rPr>
        <w:t xml:space="preserve"> </w:t>
      </w:r>
      <w:r w:rsidR="00035311">
        <w:rPr>
          <w:rFonts w:eastAsia="Times New Roman"/>
        </w:rPr>
        <w:t>-</w:t>
      </w:r>
      <w:r w:rsidR="008C7050">
        <w:rPr>
          <w:rFonts w:eastAsia="Times New Roman"/>
        </w:rPr>
        <w:t xml:space="preserve"> </w:t>
      </w:r>
      <w:r w:rsidR="00035311">
        <w:rPr>
          <w:rFonts w:eastAsia="Times New Roman"/>
        </w:rPr>
        <w:t>demande</w:t>
      </w:r>
      <w:r w:rsidR="008C7050">
        <w:rPr>
          <w:rFonts w:eastAsia="Times New Roman"/>
        </w:rPr>
        <w:t xml:space="preserve"> contenu</w:t>
      </w:r>
      <w:r w:rsidR="00035311">
        <w:rPr>
          <w:rFonts w:eastAsia="Times New Roman"/>
        </w:rPr>
        <w:t>e</w:t>
      </w:r>
      <w:r w:rsidR="008C7050">
        <w:rPr>
          <w:rFonts w:eastAsia="Times New Roman"/>
        </w:rPr>
        <w:t>, portée à 83% par la droite contre seulement 30% par la gauche. 18% ne le souhaitent pas (41% à gauche). Et surtout 27% estiment que cela « </w:t>
      </w:r>
      <w:r w:rsidR="008C7050" w:rsidRPr="008C7050">
        <w:rPr>
          <w:rFonts w:eastAsia="Times New Roman"/>
          <w:i/>
        </w:rPr>
        <w:t>leur est indifférent</w:t>
      </w:r>
      <w:r w:rsidR="008C7050">
        <w:rPr>
          <w:rFonts w:eastAsia="Times New Roman"/>
        </w:rPr>
        <w:t> » (29% à gauche).</w:t>
      </w:r>
    </w:p>
    <w:p w:rsidR="00E67C3E" w:rsidRDefault="00E67C3E" w:rsidP="0093147C">
      <w:pPr>
        <w:pStyle w:val="ListParagraph"/>
        <w:spacing w:line="264" w:lineRule="auto"/>
        <w:jc w:val="center"/>
        <w:rPr>
          <w:rFonts w:eastAsia="Times New Roman"/>
          <w:b/>
        </w:rPr>
      </w:pPr>
    </w:p>
    <w:p w:rsidR="00AE1C79" w:rsidRDefault="008C7050" w:rsidP="004E5F70">
      <w:pPr>
        <w:pStyle w:val="ListParagraph"/>
        <w:numPr>
          <w:ilvl w:val="0"/>
          <w:numId w:val="4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>
        <w:rPr>
          <w:rFonts w:eastAsia="Times New Roman"/>
          <w:b/>
        </w:rPr>
        <w:t>Enfin concernant le mode d’approbation, 51% des Français préfèreraient un référendum</w:t>
      </w:r>
      <w:r w:rsidR="00997891" w:rsidRPr="00997891">
        <w:rPr>
          <w:rFonts w:eastAsia="Times New Roman"/>
          <w:b/>
        </w:rPr>
        <w:t xml:space="preserve">, </w:t>
      </w:r>
      <w:r w:rsidRPr="00997891">
        <w:rPr>
          <w:rFonts w:eastAsia="Times New Roman"/>
          <w:b/>
        </w:rPr>
        <w:t>soit là encore un score assez faible pour une question de cette nature</w:t>
      </w:r>
      <w:r w:rsidR="00997891">
        <w:rPr>
          <w:rFonts w:eastAsia="Times New Roman"/>
        </w:rPr>
        <w:t xml:space="preserve"> (</w:t>
      </w:r>
      <w:r>
        <w:rPr>
          <w:rFonts w:eastAsia="Times New Roman"/>
        </w:rPr>
        <w:t>où l’opinion est en général toujours fortement encline à vouloir donner son avis) ;</w:t>
      </w:r>
      <w:r w:rsidR="00035311">
        <w:rPr>
          <w:rFonts w:eastAsia="Times New Roman"/>
        </w:rPr>
        <w:t xml:space="preserve"> contre</w:t>
      </w:r>
      <w:r>
        <w:rPr>
          <w:rFonts w:eastAsia="Times New Roman"/>
        </w:rPr>
        <w:t xml:space="preserve"> 28% </w:t>
      </w:r>
      <w:r w:rsidR="00035311">
        <w:rPr>
          <w:rFonts w:eastAsia="Times New Roman"/>
        </w:rPr>
        <w:t xml:space="preserve">qui </w:t>
      </w:r>
      <w:r>
        <w:rPr>
          <w:rFonts w:eastAsia="Times New Roman"/>
        </w:rPr>
        <w:t>préfèrerai</w:t>
      </w:r>
      <w:r w:rsidR="00997891">
        <w:rPr>
          <w:rFonts w:eastAsia="Times New Roman"/>
        </w:rPr>
        <w:t>en</w:t>
      </w:r>
      <w:r>
        <w:rPr>
          <w:rFonts w:eastAsia="Times New Roman"/>
        </w:rPr>
        <w:t xml:space="preserve">t </w:t>
      </w:r>
      <w:r w:rsidR="00393B61">
        <w:rPr>
          <w:rFonts w:eastAsia="Times New Roman"/>
        </w:rPr>
        <w:t>qu’</w:t>
      </w:r>
      <w:r w:rsidR="00997891">
        <w:rPr>
          <w:rFonts w:eastAsia="Times New Roman"/>
        </w:rPr>
        <w:t>« </w:t>
      </w:r>
      <w:r w:rsidR="00997891" w:rsidRPr="00997891">
        <w:rPr>
          <w:rFonts w:eastAsia="Times New Roman"/>
          <w:i/>
        </w:rPr>
        <w:t>un vote des députés et sénateurs au Parlement</w:t>
      </w:r>
      <w:r w:rsidR="00997891">
        <w:rPr>
          <w:rFonts w:eastAsia="Times New Roman"/>
        </w:rPr>
        <w:t> » s’en charge ; et 21% pour qui « </w:t>
      </w:r>
      <w:r w:rsidR="00997891" w:rsidRPr="00997891">
        <w:rPr>
          <w:rFonts w:eastAsia="Times New Roman"/>
          <w:i/>
        </w:rPr>
        <w:t>cela [leur] est égal</w:t>
      </w:r>
      <w:r w:rsidR="00997891">
        <w:rPr>
          <w:rFonts w:eastAsia="Times New Roman"/>
        </w:rPr>
        <w:t> »</w:t>
      </w:r>
      <w:r w:rsidR="00AE1C79" w:rsidRPr="008C7050">
        <w:rPr>
          <w:rFonts w:eastAsia="Times New Roman"/>
        </w:rPr>
        <w:t>.</w:t>
      </w:r>
    </w:p>
    <w:p w:rsidR="00997891" w:rsidRPr="00997891" w:rsidRDefault="00997891" w:rsidP="00997891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997891" w:rsidRDefault="00997891" w:rsidP="00997891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>
        <w:rPr>
          <w:rFonts w:eastAsia="Times New Roman"/>
        </w:rPr>
        <w:t>Les partisans d’un référendum se recrutent un peu plus chez les CSP- (61%) mais surtout en raison de leur plus grande défiance envers les parlementaires (seuls 16% souhaitent leur renvoyer le sujet).</w:t>
      </w:r>
    </w:p>
    <w:p w:rsidR="00997891" w:rsidRPr="00997891" w:rsidRDefault="00997891" w:rsidP="00997891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997891" w:rsidRPr="00997891" w:rsidRDefault="00997891" w:rsidP="00997891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pacing w:val="-2"/>
        </w:rPr>
      </w:pPr>
      <w:r w:rsidRPr="00997891">
        <w:rPr>
          <w:rFonts w:eastAsia="Times New Roman"/>
          <w:b/>
          <w:spacing w:val="-2"/>
        </w:rPr>
        <w:t>Il n’y a guère que les sympathisants frontistes pour appeler de façon importante à un référendum</w:t>
      </w:r>
      <w:r w:rsidRPr="00997891">
        <w:rPr>
          <w:rFonts w:eastAsia="Times New Roman"/>
          <w:spacing w:val="-2"/>
        </w:rPr>
        <w:t xml:space="preserve"> (74%).</w:t>
      </w:r>
    </w:p>
    <w:p w:rsidR="00AE1C79" w:rsidRDefault="00AE1C79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785F73" w:rsidRDefault="00785F73" w:rsidP="00785F73">
      <w:pPr>
        <w:pStyle w:val="ListParagraph"/>
        <w:numPr>
          <w:ilvl w:val="0"/>
          <w:numId w:val="1"/>
        </w:numPr>
        <w:spacing w:line="264" w:lineRule="auto"/>
        <w:ind w:left="284" w:hanging="284"/>
        <w:contextualSpacing/>
        <w:jc w:val="both"/>
        <w:rPr>
          <w:rFonts w:eastAsia="Times New Roman"/>
        </w:rPr>
      </w:pPr>
      <w:r>
        <w:rPr>
          <w:rFonts w:eastAsia="Times New Roman"/>
        </w:rPr>
        <w:t>Enfin, question très théorique, si référendum il y avait, 59% des Français déclarent aujourd’hui qu’ils iraient voter « </w:t>
      </w:r>
      <w:r w:rsidRPr="00785F73">
        <w:rPr>
          <w:rFonts w:eastAsia="Times New Roman"/>
          <w:i/>
        </w:rPr>
        <w:t>pour</w:t>
      </w:r>
      <w:r>
        <w:rPr>
          <w:rFonts w:eastAsia="Times New Roman"/>
        </w:rPr>
        <w:t> », 11% « </w:t>
      </w:r>
      <w:r w:rsidRPr="00785F73">
        <w:rPr>
          <w:rFonts w:eastAsia="Times New Roman"/>
          <w:i/>
        </w:rPr>
        <w:t>contre</w:t>
      </w:r>
      <w:r>
        <w:rPr>
          <w:rFonts w:eastAsia="Times New Roman"/>
        </w:rPr>
        <w:t> », et 30% ne se prononcent pas à ce stade.</w:t>
      </w:r>
    </w:p>
    <w:p w:rsidR="00997891" w:rsidRDefault="00997891" w:rsidP="004E5F70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727CCB" w:rsidRPr="00727CCB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  <w:r w:rsidRPr="00727CCB">
        <w:rPr>
          <w:rFonts w:eastAsia="Times New Roman"/>
          <w:sz w:val="14"/>
          <w:szCs w:val="14"/>
        </w:rPr>
        <w:tab/>
      </w:r>
    </w:p>
    <w:p w:rsidR="00727CCB" w:rsidRPr="00D31BB6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  <w:sz w:val="14"/>
          <w:szCs w:val="14"/>
        </w:rPr>
      </w:pPr>
    </w:p>
    <w:p w:rsidR="00563B3D" w:rsidRPr="000A7F6D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</w:pPr>
      <w:r w:rsidRPr="000A7F6D">
        <w:rPr>
          <w:color w:val="0D0D0D"/>
        </w:rPr>
        <w:tab/>
      </w:r>
      <w:r w:rsidR="00194CB4" w:rsidRPr="000A7F6D">
        <w:rPr>
          <w:color w:val="0D0D0D"/>
        </w:rPr>
        <w:t xml:space="preserve">Adrien </w:t>
      </w:r>
      <w:r w:rsidR="00194CB4" w:rsidRPr="000A7F6D">
        <w:t>ABECASSIS</w:t>
      </w:r>
    </w:p>
    <w:sectPr w:rsidR="00563B3D" w:rsidRPr="000A7F6D" w:rsidSect="008B70D0">
      <w:footerReference w:type="even" r:id="rId8"/>
      <w:footerReference w:type="default" r:id="rId9"/>
      <w:footerReference w:type="first" r:id="rId10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1FF6" w:rsidRDefault="00441FF6" w:rsidP="00C52130">
      <w:pPr>
        <w:spacing w:after="0" w:line="240" w:lineRule="auto"/>
      </w:pPr>
      <w:r>
        <w:separator/>
      </w:r>
    </w:p>
  </w:endnote>
  <w:endnote w:type="continuationSeparator" w:id="0">
    <w:p w:rsidR="00441FF6" w:rsidRDefault="00441FF6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393B61">
      <w:rPr>
        <w:rFonts w:cs="Calibri"/>
        <w:noProof/>
        <w:color w:val="404040"/>
      </w:rPr>
      <w:t>3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1FF6" w:rsidRDefault="00441FF6" w:rsidP="00C52130">
      <w:pPr>
        <w:spacing w:after="0" w:line="240" w:lineRule="auto"/>
      </w:pPr>
      <w:r>
        <w:separator/>
      </w:r>
    </w:p>
  </w:footnote>
  <w:footnote w:type="continuationSeparator" w:id="0">
    <w:p w:rsidR="00441FF6" w:rsidRDefault="00441FF6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26510964">
    <w:abstractNumId w:val="3"/>
  </w:num>
  <w:num w:numId="2" w16cid:durableId="278026636">
    <w:abstractNumId w:val="4"/>
  </w:num>
  <w:num w:numId="3" w16cid:durableId="293683522">
    <w:abstractNumId w:val="2"/>
  </w:num>
  <w:num w:numId="4" w16cid:durableId="1367220318">
    <w:abstractNumId w:val="5"/>
  </w:num>
  <w:num w:numId="5" w16cid:durableId="1658921300">
    <w:abstractNumId w:val="1"/>
  </w:num>
  <w:num w:numId="6" w16cid:durableId="1517577211">
    <w:abstractNumId w:val="0"/>
  </w:num>
  <w:num w:numId="7" w16cid:durableId="1552039848">
    <w:abstractNumId w:val="7"/>
  </w:num>
  <w:num w:numId="8" w16cid:durableId="1247618812">
    <w:abstractNumId w:val="8"/>
  </w:num>
  <w:num w:numId="9" w16cid:durableId="15373064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1840"/>
    <w:rsid w:val="000D1BB8"/>
    <w:rsid w:val="000D200C"/>
    <w:rsid w:val="000D2313"/>
    <w:rsid w:val="000D2933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418DA"/>
    <w:rsid w:val="001423DB"/>
    <w:rsid w:val="001426D7"/>
    <w:rsid w:val="00143EBA"/>
    <w:rsid w:val="00144704"/>
    <w:rsid w:val="001449F8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12876"/>
    <w:rsid w:val="002132DE"/>
    <w:rsid w:val="002157A6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47828"/>
    <w:rsid w:val="00354C65"/>
    <w:rsid w:val="00360B5E"/>
    <w:rsid w:val="00364E09"/>
    <w:rsid w:val="0039112E"/>
    <w:rsid w:val="00392BB2"/>
    <w:rsid w:val="00393B61"/>
    <w:rsid w:val="00393C2A"/>
    <w:rsid w:val="003967E8"/>
    <w:rsid w:val="003C4A2C"/>
    <w:rsid w:val="003E3A46"/>
    <w:rsid w:val="003E647C"/>
    <w:rsid w:val="003E6898"/>
    <w:rsid w:val="003F30E0"/>
    <w:rsid w:val="003F5A94"/>
    <w:rsid w:val="003F630E"/>
    <w:rsid w:val="003F6DE5"/>
    <w:rsid w:val="00404CDE"/>
    <w:rsid w:val="00406354"/>
    <w:rsid w:val="00412929"/>
    <w:rsid w:val="00416B9A"/>
    <w:rsid w:val="00431DF3"/>
    <w:rsid w:val="004331B9"/>
    <w:rsid w:val="00434C89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40CA"/>
    <w:rsid w:val="005F42E1"/>
    <w:rsid w:val="0060734B"/>
    <w:rsid w:val="00613E86"/>
    <w:rsid w:val="00613EEE"/>
    <w:rsid w:val="00617879"/>
    <w:rsid w:val="0063116A"/>
    <w:rsid w:val="00640039"/>
    <w:rsid w:val="00642F00"/>
    <w:rsid w:val="006565D5"/>
    <w:rsid w:val="00662D47"/>
    <w:rsid w:val="0068433B"/>
    <w:rsid w:val="006A1CCC"/>
    <w:rsid w:val="006A3C4B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1653"/>
    <w:rsid w:val="00784F1A"/>
    <w:rsid w:val="00785F73"/>
    <w:rsid w:val="0078614B"/>
    <w:rsid w:val="007873DB"/>
    <w:rsid w:val="007A45F2"/>
    <w:rsid w:val="007A7D81"/>
    <w:rsid w:val="007B3F9A"/>
    <w:rsid w:val="007B426B"/>
    <w:rsid w:val="007B4582"/>
    <w:rsid w:val="007C1C34"/>
    <w:rsid w:val="007E271E"/>
    <w:rsid w:val="007F128E"/>
    <w:rsid w:val="007F1DBE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602A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6811"/>
    <w:rsid w:val="008C7050"/>
    <w:rsid w:val="008D7D03"/>
    <w:rsid w:val="008E0CC3"/>
    <w:rsid w:val="008E6908"/>
    <w:rsid w:val="008F349E"/>
    <w:rsid w:val="00900032"/>
    <w:rsid w:val="009022A6"/>
    <w:rsid w:val="00906F24"/>
    <w:rsid w:val="00914322"/>
    <w:rsid w:val="00916D36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C7B08"/>
    <w:rsid w:val="009D3859"/>
    <w:rsid w:val="009D5A8D"/>
    <w:rsid w:val="009E0CEF"/>
    <w:rsid w:val="009E59C8"/>
    <w:rsid w:val="009F33EE"/>
    <w:rsid w:val="00A0477B"/>
    <w:rsid w:val="00A04DE8"/>
    <w:rsid w:val="00A10188"/>
    <w:rsid w:val="00A12AA9"/>
    <w:rsid w:val="00A141FA"/>
    <w:rsid w:val="00A14B8C"/>
    <w:rsid w:val="00A35C02"/>
    <w:rsid w:val="00A3744F"/>
    <w:rsid w:val="00A46976"/>
    <w:rsid w:val="00A478BE"/>
    <w:rsid w:val="00A5268A"/>
    <w:rsid w:val="00A626DC"/>
    <w:rsid w:val="00A627A0"/>
    <w:rsid w:val="00A64E34"/>
    <w:rsid w:val="00A71705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E00BE"/>
    <w:rsid w:val="00AE1C79"/>
    <w:rsid w:val="00AF2CEB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C01A6A"/>
    <w:rsid w:val="00C035F6"/>
    <w:rsid w:val="00C10675"/>
    <w:rsid w:val="00C125E3"/>
    <w:rsid w:val="00C12B0E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C6E"/>
    <w:rsid w:val="00E6183B"/>
    <w:rsid w:val="00E62A44"/>
    <w:rsid w:val="00E66ACB"/>
    <w:rsid w:val="00E67C3E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7FD4"/>
    <w:rsid w:val="00EF1C38"/>
    <w:rsid w:val="00F00215"/>
    <w:rsid w:val="00F224D5"/>
    <w:rsid w:val="00F227D1"/>
    <w:rsid w:val="00F2672A"/>
    <w:rsid w:val="00F313EC"/>
    <w:rsid w:val="00F41C65"/>
    <w:rsid w:val="00F426AF"/>
    <w:rsid w:val="00F616FC"/>
    <w:rsid w:val="00F63D49"/>
    <w:rsid w:val="00F7075A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EB49BE-BF28-4C53-B91C-D31C83F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1022</Words>
  <Characters>5832</Characters>
  <Application>Microsoft Office Word</Application>
  <DocSecurity>4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2015-12-29T10:27:00Z</cp:lastPrinted>
  <dcterms:created xsi:type="dcterms:W3CDTF">2015-12-29T17:03:00Z</dcterms:created>
  <dcterms:modified xsi:type="dcterms:W3CDTF">2015-12-29T17:42:00Z</dcterms:modified>
</cp:coreProperties>
</file>