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4B1" w:rsidRPr="00954856" w:rsidRDefault="00E504B1" w:rsidP="00E504B1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E504B1" w:rsidRPr="00954856" w:rsidRDefault="00E504B1" w:rsidP="00E504B1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50FD6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881970">
        <w:rPr>
          <w:rFonts w:ascii="Times New Roman" w:eastAsia="Times New Roman" w:hAnsi="Times New Roman"/>
          <w:color w:val="0D0D0D"/>
          <w:sz w:val="23"/>
          <w:szCs w:val="23"/>
        </w:rPr>
        <w:t>6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février 2016</w:t>
      </w:r>
    </w:p>
    <w:p w:rsidR="00E504B1" w:rsidRPr="00954856" w:rsidRDefault="00E504B1" w:rsidP="00E504B1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36A72" w:rsidRDefault="00C36A72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54669" w:rsidRPr="008B70D0" w:rsidRDefault="00C54669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E504B1" w:rsidRPr="00954856" w:rsidRDefault="00E504B1" w:rsidP="00E504B1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E504B1" w:rsidRPr="00954856" w:rsidRDefault="00E504B1" w:rsidP="00E504B1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C36A72" w:rsidRDefault="00C36A72" w:rsidP="00E504B1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BE641B" w:rsidRPr="0019748E" w:rsidRDefault="00063DEB" w:rsidP="00F62DF5">
      <w:pPr>
        <w:spacing w:before="120" w:after="0" w:line="264" w:lineRule="auto"/>
        <w:jc w:val="both"/>
        <w:rPr>
          <w:b/>
          <w:i/>
          <w:sz w:val="23"/>
          <w:szCs w:val="23"/>
          <w:u w:val="single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 xml:space="preserve"> : </w:t>
      </w:r>
      <w:r w:rsidR="00FE09CC">
        <w:rPr>
          <w:b/>
          <w:i/>
          <w:u w:val="single"/>
        </w:rPr>
        <w:t xml:space="preserve">Etat </w:t>
      </w:r>
      <w:r w:rsidR="0076712F">
        <w:rPr>
          <w:b/>
          <w:i/>
          <w:u w:val="single"/>
        </w:rPr>
        <w:t>(partiel)</w:t>
      </w:r>
      <w:r w:rsidR="002E7A4D">
        <w:rPr>
          <w:b/>
          <w:i/>
          <w:u w:val="single"/>
        </w:rPr>
        <w:t xml:space="preserve"> </w:t>
      </w:r>
      <w:r w:rsidR="00FE09CC">
        <w:rPr>
          <w:b/>
          <w:i/>
          <w:u w:val="single"/>
        </w:rPr>
        <w:t>de l’opinion sur la loi travail</w:t>
      </w:r>
    </w:p>
    <w:p w:rsidR="004D2081" w:rsidRDefault="004D2081" w:rsidP="004D2081">
      <w:pPr>
        <w:spacing w:before="120" w:after="0" w:line="264" w:lineRule="auto"/>
        <w:jc w:val="both"/>
        <w:rPr>
          <w:sz w:val="23"/>
          <w:szCs w:val="23"/>
        </w:rPr>
      </w:pPr>
    </w:p>
    <w:p w:rsidR="002241E1" w:rsidRDefault="002241E1" w:rsidP="002E7A4D">
      <w:pPr>
        <w:numPr>
          <w:ilvl w:val="0"/>
          <w:numId w:val="14"/>
        </w:numPr>
        <w:spacing w:before="120" w:after="0" w:line="264" w:lineRule="auto"/>
        <w:ind w:left="0" w:hanging="284"/>
        <w:jc w:val="both"/>
      </w:pPr>
      <w:r>
        <w:t xml:space="preserve">Des remontées d’opinion – encore incomplètes – recueillies à ce stade, </w:t>
      </w:r>
      <w:r w:rsidR="00A9313A" w:rsidRPr="00300259">
        <w:rPr>
          <w:b/>
        </w:rPr>
        <w:t>deux</w:t>
      </w:r>
      <w:r w:rsidRPr="00300259">
        <w:rPr>
          <w:b/>
        </w:rPr>
        <w:t xml:space="preserve"> points de crispation</w:t>
      </w:r>
      <w:r>
        <w:t xml:space="preserve"> semblent émerger :</w:t>
      </w:r>
    </w:p>
    <w:p w:rsidR="00A36084" w:rsidRDefault="00A36084" w:rsidP="0076712F">
      <w:pPr>
        <w:numPr>
          <w:ilvl w:val="0"/>
          <w:numId w:val="15"/>
        </w:numPr>
        <w:spacing w:before="240" w:after="0" w:line="264" w:lineRule="auto"/>
        <w:ind w:left="284" w:hanging="284"/>
        <w:jc w:val="both"/>
      </w:pPr>
      <w:r w:rsidRPr="00300259">
        <w:rPr>
          <w:b/>
        </w:rPr>
        <w:t>La peur du licenciement</w:t>
      </w:r>
      <w:r>
        <w:t xml:space="preserve">. Le PJL a été </w:t>
      </w:r>
      <w:r w:rsidRPr="00300259">
        <w:rPr>
          <w:b/>
        </w:rPr>
        <w:t>compris comme « facilitant » le licenciement</w:t>
      </w:r>
      <w:r>
        <w:t xml:space="preserve"> (et non comme « stabilisant » les règles), donc « fragilisant » encore les situations.</w:t>
      </w:r>
    </w:p>
    <w:p w:rsidR="00A36084" w:rsidRDefault="00A36084" w:rsidP="00A36084">
      <w:pPr>
        <w:spacing w:before="120" w:after="0" w:line="264" w:lineRule="auto"/>
        <w:ind w:left="284"/>
        <w:jc w:val="both"/>
      </w:pPr>
      <w:r>
        <w:t xml:space="preserve">C’est sans doute le point le plus dur, car il réveille un réflexe « reptilien » : </w:t>
      </w:r>
      <w:r w:rsidRPr="00300259">
        <w:rPr>
          <w:b/>
        </w:rPr>
        <w:t>on sent le danger</w:t>
      </w:r>
      <w:r>
        <w:t xml:space="preserve"> (vital en particulier pour les milieux populaires et les actifs qui se sentent déjà fragilisé et pensent ne pas retrouver d’emploi s’ils perdaient le leur), </w:t>
      </w:r>
      <w:r w:rsidRPr="00300259">
        <w:rPr>
          <w:b/>
        </w:rPr>
        <w:t>qui fait reculer instinctivement</w:t>
      </w:r>
      <w:r>
        <w:t xml:space="preserve">. </w:t>
      </w:r>
      <w:r w:rsidRPr="00300259">
        <w:rPr>
          <w:b/>
        </w:rPr>
        <w:t>Ce n’est pas un raisonnement, c’est un réflexe</w:t>
      </w:r>
      <w:r>
        <w:t xml:space="preserve"> : précisément pour cela, il est très difficile de </w:t>
      </w:r>
      <w:proofErr w:type="spellStart"/>
      <w:r>
        <w:t>contre-argumenter</w:t>
      </w:r>
      <w:proofErr w:type="spellEnd"/>
      <w:r>
        <w:t xml:space="preserve"> rationnellement.</w:t>
      </w:r>
    </w:p>
    <w:p w:rsidR="00A36084" w:rsidRDefault="00A36084" w:rsidP="0076712F">
      <w:pPr>
        <w:numPr>
          <w:ilvl w:val="0"/>
          <w:numId w:val="15"/>
        </w:numPr>
        <w:spacing w:before="240" w:after="0" w:line="264" w:lineRule="auto"/>
        <w:ind w:left="284" w:hanging="284"/>
        <w:jc w:val="both"/>
      </w:pPr>
      <w:r w:rsidRPr="00300259">
        <w:rPr>
          <w:b/>
        </w:rPr>
        <w:t>Le procès en trahison de la gauche</w:t>
      </w:r>
      <w:r>
        <w:t>, qui vient davantage de personnes plus engagées politiquement</w:t>
      </w:r>
      <w:r w:rsidR="002E7A4D">
        <w:t xml:space="preserve">, </w:t>
      </w:r>
      <w:r>
        <w:t xml:space="preserve">mais </w:t>
      </w:r>
      <w:r w:rsidRPr="00723D20">
        <w:rPr>
          <w:b/>
        </w:rPr>
        <w:t>bien au-delà des seuls cercles militants</w:t>
      </w:r>
      <w:r w:rsidRPr="00723D20">
        <w:t>.</w:t>
      </w:r>
      <w:r w:rsidR="002E7A4D" w:rsidRPr="00723D20">
        <w:t xml:space="preserve"> C’est un fait nouveau :</w:t>
      </w:r>
      <w:r w:rsidR="002E7A4D" w:rsidRPr="00300259">
        <w:t xml:space="preserve"> aucune réforme n’avait jusqu’à présent provoqué de telles réactions parmi les sympathisants éloignés.</w:t>
      </w:r>
      <w:r>
        <w:t xml:space="preserve"> On le voit se développer avec le </w:t>
      </w:r>
      <w:r w:rsidRPr="00300259">
        <w:rPr>
          <w:b/>
        </w:rPr>
        <w:t>champ lexical du « recul » et du « retour en arrière » largement mobilisé par ces personnes pour parler de cette loi</w:t>
      </w:r>
      <w:r>
        <w:t>.</w:t>
      </w:r>
    </w:p>
    <w:p w:rsidR="00A36084" w:rsidRDefault="00A36084" w:rsidP="00A36084">
      <w:pPr>
        <w:spacing w:before="120" w:after="0" w:line="264" w:lineRule="auto"/>
        <w:ind w:left="284"/>
        <w:jc w:val="both"/>
      </w:pPr>
      <w:r>
        <w:t xml:space="preserve">Le fait que tout ce qui touche au </w:t>
      </w:r>
      <w:r w:rsidRPr="00723D20">
        <w:rPr>
          <w:b/>
        </w:rPr>
        <w:t>volet protection</w:t>
      </w:r>
      <w:r>
        <w:t xml:space="preserve"> (CPA etc.) n’ait </w:t>
      </w:r>
      <w:r w:rsidRPr="00723D20">
        <w:rPr>
          <w:b/>
        </w:rPr>
        <w:t>pas été relayé dans les médias empêche ces gens</w:t>
      </w:r>
      <w:r>
        <w:t xml:space="preserve">, qui « raisonnent » (contrairement à ceux qui sont dans un « réflexe » face à un danger), </w:t>
      </w:r>
      <w:r w:rsidR="002E7EE0" w:rsidRPr="00723D20">
        <w:rPr>
          <w:b/>
        </w:rPr>
        <w:t>de comprendre</w:t>
      </w:r>
      <w:r w:rsidRPr="00723D20">
        <w:rPr>
          <w:b/>
        </w:rPr>
        <w:t xml:space="preserve"> </w:t>
      </w:r>
      <w:r w:rsidR="002E7EE0" w:rsidRPr="00723D20">
        <w:rPr>
          <w:b/>
        </w:rPr>
        <w:t>le</w:t>
      </w:r>
      <w:r w:rsidRPr="00723D20">
        <w:rPr>
          <w:b/>
        </w:rPr>
        <w:t xml:space="preserve"> discours d’un « nouveau modèle » à bâtir en gardant un équilibre</w:t>
      </w:r>
      <w:r>
        <w:t xml:space="preserve"> (raisonnement qui ne sera pas spontané mais qu’ils pourraient accepter si les nouvelles protections étaient visibles).</w:t>
      </w:r>
    </w:p>
    <w:p w:rsidR="00A36084" w:rsidRDefault="00A36084" w:rsidP="00A36084">
      <w:pPr>
        <w:spacing w:before="120" w:after="0" w:line="264" w:lineRule="auto"/>
        <w:ind w:left="284"/>
        <w:jc w:val="both"/>
      </w:pPr>
      <w:r>
        <w:t>Ce manque de sens</w:t>
      </w:r>
      <w:r w:rsidR="002E7EE0">
        <w:t xml:space="preserve"> ou de compréhension idéologique</w:t>
      </w:r>
      <w:r>
        <w:t xml:space="preserve"> n’est </w:t>
      </w:r>
      <w:r w:rsidRPr="00723D20">
        <w:rPr>
          <w:b/>
        </w:rPr>
        <w:t>pas non plus compensé par la priorité emploi</w:t>
      </w:r>
      <w:r>
        <w:t xml:space="preserve"> (pourtant « première des injustices » pour la gauche etc.), car notre crédibilité sur ce plan est trop faible. Ainsi </w:t>
      </w:r>
      <w:r w:rsidRPr="00723D20">
        <w:rPr>
          <w:b/>
        </w:rPr>
        <w:t>30% estiment que cette mesure permettra de créer des emplois ; alors que 70% pensent qu’elle est une menace pour les droits des salariés</w:t>
      </w:r>
      <w:r>
        <w:t>. C’est dans cet effet de ciseau que se développe le sentiment que l’o</w:t>
      </w:r>
      <w:r w:rsidRPr="004B0ABE">
        <w:t>n</w:t>
      </w:r>
      <w:r>
        <w:t xml:space="preserve"> veut</w:t>
      </w:r>
      <w:r w:rsidRPr="004B0ABE">
        <w:t xml:space="preserve"> </w:t>
      </w:r>
      <w:r>
        <w:t xml:space="preserve">imposer </w:t>
      </w:r>
      <w:r w:rsidRPr="004B0ABE">
        <w:t>des sacrifices réels pour des bénéfices très hypothétiques.</w:t>
      </w:r>
    </w:p>
    <w:p w:rsidR="00A9313A" w:rsidRDefault="00D97A7C" w:rsidP="0076712F">
      <w:pPr>
        <w:spacing w:before="240" w:after="0" w:line="264" w:lineRule="auto"/>
        <w:jc w:val="both"/>
      </w:pPr>
      <w:r w:rsidRPr="00723D20">
        <w:rPr>
          <w:b/>
        </w:rPr>
        <w:t xml:space="preserve">Les autres points de </w:t>
      </w:r>
      <w:r w:rsidR="0076712F" w:rsidRPr="00723D20">
        <w:rPr>
          <w:b/>
        </w:rPr>
        <w:t>contestation</w:t>
      </w:r>
      <w:r w:rsidR="002E7EE0" w:rsidRPr="00723D20">
        <w:rPr>
          <w:b/>
        </w:rPr>
        <w:t xml:space="preserve"> </w:t>
      </w:r>
      <w:r w:rsidR="00723D20">
        <w:rPr>
          <w:b/>
        </w:rPr>
        <w:t>paraissent à ce stade</w:t>
      </w:r>
      <w:r w:rsidR="002E7EE0" w:rsidRPr="00723D20">
        <w:rPr>
          <w:b/>
        </w:rPr>
        <w:t xml:space="preserve"> plus marginaux</w:t>
      </w:r>
      <w:r w:rsidR="002E7EE0">
        <w:t xml:space="preserve"> : </w:t>
      </w:r>
      <w:proofErr w:type="spellStart"/>
      <w:r>
        <w:t>barémisation</w:t>
      </w:r>
      <w:proofErr w:type="spellEnd"/>
      <w:r>
        <w:t xml:space="preserve"> des prud’hommes </w:t>
      </w:r>
      <w:r w:rsidR="002E7EE0">
        <w:t>(</w:t>
      </w:r>
      <w:r>
        <w:t xml:space="preserve">sauf </w:t>
      </w:r>
      <w:r w:rsidR="008708FA">
        <w:t>lorsqu’on</w:t>
      </w:r>
      <w:r>
        <w:t xml:space="preserve"> </w:t>
      </w:r>
      <w:r w:rsidR="008708FA">
        <w:t xml:space="preserve">en </w:t>
      </w:r>
      <w:r>
        <w:t>compr</w:t>
      </w:r>
      <w:r w:rsidR="008708FA">
        <w:t>end</w:t>
      </w:r>
      <w:r>
        <w:t> </w:t>
      </w:r>
      <w:r w:rsidR="008708FA">
        <w:t>« </w:t>
      </w:r>
      <w:r>
        <w:t>diminution » nette</w:t>
      </w:r>
      <w:r w:rsidR="002E7EE0">
        <w:t>, ce qui fait alors réagir)</w:t>
      </w:r>
      <w:r w:rsidR="008708FA">
        <w:t xml:space="preserve"> ; heures sup ; pouvoir accru de négociation en entreprise y compris référendum </w:t>
      </w:r>
      <w:r w:rsidR="002E7EE0">
        <w:t>(</w:t>
      </w:r>
      <w:r w:rsidR="008708FA">
        <w:t>largement approuvé</w:t>
      </w:r>
      <w:r w:rsidR="002E7EE0">
        <w:t xml:space="preserve"> pour sa part</w:t>
      </w:r>
      <w:r>
        <w:t>)</w:t>
      </w:r>
      <w:r w:rsidR="008708FA">
        <w:t>.</w:t>
      </w:r>
    </w:p>
    <w:p w:rsidR="002E7EE0" w:rsidRPr="004B0ABE" w:rsidRDefault="00723D20" w:rsidP="00D97A7C">
      <w:pPr>
        <w:spacing w:before="120" w:after="0" w:line="264" w:lineRule="auto"/>
        <w:jc w:val="both"/>
      </w:pPr>
      <w:r>
        <w:t>NB : l</w:t>
      </w:r>
      <w:r w:rsidR="002E7EE0">
        <w:t xml:space="preserve">es remontées </w:t>
      </w:r>
      <w:r w:rsidR="0076712F">
        <w:t xml:space="preserve">disponibles </w:t>
      </w:r>
      <w:r w:rsidR="002E7EE0">
        <w:t>ne sont cependant que partielles, et les courriers contiennent un biais d’auto-sélection. Nous verrons mieux avec les questions ouvertes de ce week-end s’il y a d’autres zones d’ombres ou points de crispation.</w:t>
      </w:r>
    </w:p>
    <w:p w:rsidR="004B0ABE" w:rsidRDefault="004B0ABE" w:rsidP="008708FA">
      <w:pPr>
        <w:spacing w:before="120" w:after="0" w:line="264" w:lineRule="auto"/>
        <w:jc w:val="both"/>
      </w:pPr>
    </w:p>
    <w:p w:rsidR="004B0ABE" w:rsidRDefault="002E7EE0" w:rsidP="0076712F">
      <w:pPr>
        <w:numPr>
          <w:ilvl w:val="0"/>
          <w:numId w:val="14"/>
        </w:numPr>
        <w:spacing w:before="120" w:after="0" w:line="264" w:lineRule="auto"/>
        <w:ind w:left="0" w:hanging="284"/>
        <w:jc w:val="both"/>
      </w:pPr>
      <w:r>
        <w:t>Dans l’immédiat</w:t>
      </w:r>
      <w:r w:rsidR="00D24B93">
        <w:t xml:space="preserve">, en </w:t>
      </w:r>
      <w:r w:rsidR="008708FA">
        <w:t>termes d’opinion</w:t>
      </w:r>
      <w:r w:rsidR="0076712F">
        <w:t xml:space="preserve"> et de communication</w:t>
      </w:r>
      <w:r w:rsidR="008708FA">
        <w:t> :</w:t>
      </w:r>
    </w:p>
    <w:p w:rsidR="002241E1" w:rsidRDefault="00D24B93" w:rsidP="00E10D06">
      <w:pPr>
        <w:numPr>
          <w:ilvl w:val="0"/>
          <w:numId w:val="12"/>
        </w:numPr>
        <w:spacing w:before="240" w:after="0" w:line="264" w:lineRule="auto"/>
        <w:ind w:left="284" w:hanging="284"/>
        <w:jc w:val="both"/>
      </w:pPr>
      <w:r>
        <w:t xml:space="preserve">Il </w:t>
      </w:r>
      <w:r w:rsidR="0076712F">
        <w:t>serait</w:t>
      </w:r>
      <w:r w:rsidR="002E7EE0">
        <w:t xml:space="preserve"> important</w:t>
      </w:r>
      <w:r>
        <w:t xml:space="preserve"> de </w:t>
      </w:r>
      <w:r w:rsidR="0076712F" w:rsidRPr="0076712F">
        <w:rPr>
          <w:b/>
        </w:rPr>
        <w:t>mieux insister sur</w:t>
      </w:r>
      <w:r w:rsidR="002241E1" w:rsidRPr="0076712F">
        <w:rPr>
          <w:b/>
        </w:rPr>
        <w:t xml:space="preserve"> </w:t>
      </w:r>
      <w:r w:rsidR="008708FA" w:rsidRPr="0076712F">
        <w:rPr>
          <w:b/>
        </w:rPr>
        <w:t>l’objectif</w:t>
      </w:r>
      <w:r w:rsidR="002241E1" w:rsidRPr="0076712F">
        <w:rPr>
          <w:b/>
        </w:rPr>
        <w:t xml:space="preserve"> </w:t>
      </w:r>
      <w:r w:rsidR="008708FA" w:rsidRPr="0076712F">
        <w:rPr>
          <w:b/>
        </w:rPr>
        <w:t>d</w:t>
      </w:r>
      <w:r w:rsidR="002241E1" w:rsidRPr="0076712F">
        <w:rPr>
          <w:b/>
        </w:rPr>
        <w:t>e créations d’emplois</w:t>
      </w:r>
      <w:r w:rsidR="008708FA" w:rsidRPr="0076712F">
        <w:rPr>
          <w:b/>
        </w:rPr>
        <w:t>, pour renforcer la « justification » de la démarche</w:t>
      </w:r>
      <w:r w:rsidR="008708FA">
        <w:t xml:space="preserve">. </w:t>
      </w:r>
      <w:r w:rsidR="00E10D06">
        <w:t>Sans s’attendre à un changement radical :</w:t>
      </w:r>
      <w:r>
        <w:t xml:space="preserve"> l</w:t>
      </w:r>
      <w:r w:rsidR="008708FA">
        <w:t>’incrédulité restera</w:t>
      </w:r>
      <w:r>
        <w:t xml:space="preserve"> </w:t>
      </w:r>
      <w:r w:rsidR="008708FA">
        <w:t>forte au regard de notre histor</w:t>
      </w:r>
      <w:r w:rsidR="00E10D06">
        <w:t>ique</w:t>
      </w:r>
      <w:r w:rsidR="0076712F">
        <w:t> ;</w:t>
      </w:r>
      <w:r w:rsidR="008708FA">
        <w:t xml:space="preserve"> sauf si nous parvenions à présenter </w:t>
      </w:r>
      <w:r>
        <w:t xml:space="preserve">la réforme </w:t>
      </w:r>
      <w:r w:rsidR="008708FA">
        <w:t xml:space="preserve">comme </w:t>
      </w:r>
      <w:r w:rsidR="008708FA" w:rsidRPr="0076712F">
        <w:rPr>
          <w:b/>
        </w:rPr>
        <w:t xml:space="preserve">quelque chose de tellement « nouveau » que </w:t>
      </w:r>
      <w:r w:rsidR="005A3EC0" w:rsidRPr="0076712F">
        <w:rPr>
          <w:b/>
        </w:rPr>
        <w:t>cela réveille</w:t>
      </w:r>
      <w:r w:rsidR="008708FA" w:rsidRPr="0076712F">
        <w:rPr>
          <w:b/>
        </w:rPr>
        <w:t xml:space="preserve"> le bénéfice du doute</w:t>
      </w:r>
      <w:r>
        <w:t xml:space="preserve"> (</w:t>
      </w:r>
      <w:r w:rsidR="00E10D06">
        <w:t xml:space="preserve">i.e. </w:t>
      </w:r>
      <w:r>
        <w:t xml:space="preserve">on ne peut plus </w:t>
      </w:r>
      <w:proofErr w:type="spellStart"/>
      <w:r>
        <w:t>pré-juger</w:t>
      </w:r>
      <w:proofErr w:type="spellEnd"/>
      <w:r>
        <w:t xml:space="preserve"> avec les critères anciens)</w:t>
      </w:r>
      <w:r w:rsidR="008708FA">
        <w:t>.</w:t>
      </w:r>
    </w:p>
    <w:p w:rsidR="00154C9F" w:rsidRDefault="00C36A72" w:rsidP="00E10D06">
      <w:pPr>
        <w:numPr>
          <w:ilvl w:val="0"/>
          <w:numId w:val="12"/>
        </w:numPr>
        <w:spacing w:before="240" w:after="0" w:line="264" w:lineRule="auto"/>
        <w:ind w:left="284" w:hanging="284"/>
        <w:jc w:val="both"/>
      </w:pPr>
      <w:r w:rsidRPr="00C36A72">
        <w:rPr>
          <w:b/>
        </w:rPr>
        <w:t>Une difficulté importante</w:t>
      </w:r>
      <w:r>
        <w:t xml:space="preserve"> (la principale ?) </w:t>
      </w:r>
      <w:r w:rsidRPr="00C36A72">
        <w:rPr>
          <w:b/>
        </w:rPr>
        <w:t xml:space="preserve">sera </w:t>
      </w:r>
      <w:r w:rsidR="005A3EC0" w:rsidRPr="00C36A72">
        <w:rPr>
          <w:b/>
        </w:rPr>
        <w:t>le sentiment « d’insécurisation »</w:t>
      </w:r>
      <w:r w:rsidR="005A3EC0">
        <w:t xml:space="preserve"> qui a été réveillé. No</w:t>
      </w:r>
      <w:r>
        <w:t>u</w:t>
      </w:r>
      <w:r w:rsidR="005A3EC0">
        <w:t>s</w:t>
      </w:r>
      <w:r>
        <w:t xml:space="preserve"> ne pourrons </w:t>
      </w:r>
      <w:r w:rsidRPr="00C36A72">
        <w:rPr>
          <w:b/>
        </w:rPr>
        <w:t>pas</w:t>
      </w:r>
      <w:r w:rsidR="005A3EC0" w:rsidRPr="00C36A72">
        <w:rPr>
          <w:b/>
        </w:rPr>
        <w:t xml:space="preserve"> </w:t>
      </w:r>
      <w:proofErr w:type="spellStart"/>
      <w:r w:rsidR="005A3EC0" w:rsidRPr="00C36A72">
        <w:rPr>
          <w:b/>
        </w:rPr>
        <w:t>contre-argumenter</w:t>
      </w:r>
      <w:proofErr w:type="spellEnd"/>
      <w:r w:rsidR="005A3EC0" w:rsidRPr="00C36A72">
        <w:rPr>
          <w:b/>
        </w:rPr>
        <w:t xml:space="preserve"> sur le fond et rassurer rationnellement</w:t>
      </w:r>
      <w:r w:rsidR="009575BB">
        <w:t>,</w:t>
      </w:r>
      <w:r w:rsidR="005A3EC0">
        <w:t xml:space="preserve"> précisément </w:t>
      </w:r>
      <w:r w:rsidR="008D7097">
        <w:t>car</w:t>
      </w:r>
      <w:r w:rsidR="005A3EC0">
        <w:t xml:space="preserve"> il </w:t>
      </w:r>
      <w:r w:rsidR="009575BB">
        <w:t xml:space="preserve">s’agit </w:t>
      </w:r>
      <w:r w:rsidR="005A3EC0">
        <w:t xml:space="preserve">d’un réflexe : si le projet est </w:t>
      </w:r>
      <w:r w:rsidR="00E10D06">
        <w:t>vu</w:t>
      </w:r>
      <w:r w:rsidR="005A3EC0">
        <w:t xml:space="preserve"> comme « teinté » d’un danger </w:t>
      </w:r>
      <w:r>
        <w:t>à l’origine</w:t>
      </w:r>
      <w:r w:rsidR="005A3EC0">
        <w:t>, il le restera quoi que l’on dise.</w:t>
      </w:r>
    </w:p>
    <w:p w:rsidR="003326F6" w:rsidRDefault="009575BB" w:rsidP="004728DB">
      <w:pPr>
        <w:spacing w:before="120" w:after="0" w:line="264" w:lineRule="auto"/>
        <w:ind w:left="284"/>
        <w:jc w:val="both"/>
      </w:pPr>
      <w:r>
        <w:t xml:space="preserve">Plutôt que de vouloir réorienter les perceptions rationnellement, </w:t>
      </w:r>
      <w:r w:rsidRPr="00C36A72">
        <w:rPr>
          <w:b/>
        </w:rPr>
        <w:t>m</w:t>
      </w:r>
      <w:r w:rsidR="00154C9F" w:rsidRPr="00C36A72">
        <w:rPr>
          <w:b/>
        </w:rPr>
        <w:t>ieux vaudrait mettre en scène</w:t>
      </w:r>
      <w:r w:rsidRPr="00C36A72">
        <w:rPr>
          <w:b/>
        </w:rPr>
        <w:t xml:space="preserve"> une « réinitialisation » du projet, </w:t>
      </w:r>
      <w:r w:rsidR="00E10D06" w:rsidRPr="00C36A72">
        <w:rPr>
          <w:b/>
        </w:rPr>
        <w:t xml:space="preserve">i.e. </w:t>
      </w:r>
      <w:r w:rsidRPr="00C36A72">
        <w:rPr>
          <w:b/>
        </w:rPr>
        <w:t>un « rappel » avant de remettre sur le marché</w:t>
      </w:r>
      <w:r w:rsidR="008E2C44" w:rsidRPr="00C36A72">
        <w:rPr>
          <w:b/>
        </w:rPr>
        <w:t xml:space="preserve"> un projet</w:t>
      </w:r>
      <w:r w:rsidRPr="00C36A72">
        <w:rPr>
          <w:b/>
        </w:rPr>
        <w:t>, en assumant</w:t>
      </w:r>
      <w:r w:rsidR="00154C9F" w:rsidRPr="00C36A72">
        <w:rPr>
          <w:b/>
        </w:rPr>
        <w:t xml:space="preserve"> des « corrections » sur la mesure licenciement</w:t>
      </w:r>
      <w:r w:rsidR="00E10D06">
        <w:t>.</w:t>
      </w:r>
      <w:r w:rsidR="00154C9F">
        <w:t xml:space="preserve"> </w:t>
      </w:r>
      <w:r w:rsidR="00E10D06">
        <w:t>Ce qui permettrait</w:t>
      </w:r>
      <w:r>
        <w:t xml:space="preserve"> </w:t>
      </w:r>
      <w:r w:rsidR="00C36A72">
        <w:t>une</w:t>
      </w:r>
      <w:r w:rsidR="004728DB">
        <w:t xml:space="preserve"> présentation de cette</w:t>
      </w:r>
      <w:r w:rsidR="00154C9F">
        <w:t xml:space="preserve"> nouvelle version </w:t>
      </w:r>
      <w:r w:rsidR="00C36A72">
        <w:t>en</w:t>
      </w:r>
      <w:r>
        <w:t xml:space="preserve"> </w:t>
      </w:r>
      <w:r w:rsidR="008E2C44" w:rsidRPr="00C36A72">
        <w:rPr>
          <w:b/>
        </w:rPr>
        <w:t>sort</w:t>
      </w:r>
      <w:r w:rsidR="00C36A72" w:rsidRPr="00C36A72">
        <w:rPr>
          <w:b/>
        </w:rPr>
        <w:t>ant</w:t>
      </w:r>
      <w:r w:rsidR="00154C9F" w:rsidRPr="00C36A72">
        <w:rPr>
          <w:b/>
        </w:rPr>
        <w:t xml:space="preserve"> </w:t>
      </w:r>
      <w:r w:rsidR="008E2C44" w:rsidRPr="00C36A72">
        <w:rPr>
          <w:b/>
        </w:rPr>
        <w:t>du</w:t>
      </w:r>
      <w:r w:rsidR="00154C9F" w:rsidRPr="00C36A72">
        <w:rPr>
          <w:b/>
        </w:rPr>
        <w:t xml:space="preserve"> récit de la « facilitation »</w:t>
      </w:r>
      <w:r w:rsidR="003326F6" w:rsidRPr="00C36A72">
        <w:rPr>
          <w:b/>
        </w:rPr>
        <w:t xml:space="preserve"> pour celui de la « stabilisation »</w:t>
      </w:r>
      <w:r w:rsidR="005A3EC0" w:rsidRPr="005A3EC0">
        <w:t xml:space="preserve"> </w:t>
      </w:r>
      <w:r w:rsidR="00154C9F">
        <w:t xml:space="preserve">(et </w:t>
      </w:r>
      <w:r w:rsidR="00E10D06">
        <w:t>de</w:t>
      </w:r>
      <w:r w:rsidR="003326F6">
        <w:t xml:space="preserve"> combat</w:t>
      </w:r>
      <w:r w:rsidR="00E10D06">
        <w:t>tre</w:t>
      </w:r>
      <w:r w:rsidR="003326F6">
        <w:t xml:space="preserve"> </w:t>
      </w:r>
      <w:r w:rsidR="008E2C44">
        <w:t xml:space="preserve">cette accusation lorsqu’elle </w:t>
      </w:r>
      <w:proofErr w:type="spellStart"/>
      <w:r w:rsidR="008E2C44">
        <w:t>ré</w:t>
      </w:r>
      <w:r w:rsidR="00154C9F">
        <w:t>émerge</w:t>
      </w:r>
      <w:r w:rsidR="003326F6">
        <w:t>ra</w:t>
      </w:r>
      <w:proofErr w:type="spellEnd"/>
      <w:r w:rsidR="00154C9F">
        <w:t>)</w:t>
      </w:r>
      <w:r w:rsidR="00C36A72">
        <w:t xml:space="preserve"> </w:t>
      </w:r>
    </w:p>
    <w:p w:rsidR="005A3EC0" w:rsidRPr="005A3EC0" w:rsidRDefault="00300259" w:rsidP="004728DB">
      <w:pPr>
        <w:spacing w:before="120" w:after="0" w:line="264" w:lineRule="auto"/>
        <w:ind w:left="284"/>
        <w:jc w:val="both"/>
      </w:pPr>
      <w:r>
        <w:t>Il faudrait</w:t>
      </w:r>
      <w:r w:rsidR="003326F6">
        <w:t xml:space="preserve"> </w:t>
      </w:r>
      <w:r w:rsidR="003326F6" w:rsidRPr="00300259">
        <w:t>faire vite</w:t>
      </w:r>
      <w:r w:rsidR="003326F6">
        <w:t xml:space="preserve"> </w:t>
      </w:r>
      <w:r w:rsidR="00C36A72">
        <w:t>pour</w:t>
      </w:r>
      <w:r w:rsidR="008E2C44">
        <w:t xml:space="preserve"> d’</w:t>
      </w:r>
      <w:r w:rsidR="003326F6">
        <w:t>avoir une chance de réintroduire l</w:t>
      </w:r>
      <w:r w:rsidR="003326F6" w:rsidRPr="005A3EC0">
        <w:t xml:space="preserve">e PJL </w:t>
      </w:r>
      <w:r w:rsidR="003326F6">
        <w:t>sous un prisme plus favorable</w:t>
      </w:r>
      <w:r w:rsidR="008E2C44">
        <w:t xml:space="preserve"> </w:t>
      </w:r>
      <w:r w:rsidR="004728DB" w:rsidRPr="00C36A72">
        <w:rPr>
          <w:b/>
        </w:rPr>
        <w:t>avant que les perception</w:t>
      </w:r>
      <w:r w:rsidR="008E2C44" w:rsidRPr="00C36A72">
        <w:rPr>
          <w:b/>
        </w:rPr>
        <w:t>s ne soient entièrement figées</w:t>
      </w:r>
      <w:r w:rsidR="008E2C44">
        <w:t xml:space="preserve"> : </w:t>
      </w:r>
      <w:r w:rsidR="004728DB">
        <w:t>une fois que l</w:t>
      </w:r>
      <w:r w:rsidR="003326F6">
        <w:t>’identification du</w:t>
      </w:r>
      <w:r w:rsidR="004728DB">
        <w:t xml:space="preserve"> danger </w:t>
      </w:r>
      <w:r w:rsidR="003326F6">
        <w:t>sera ancrée, elle</w:t>
      </w:r>
      <w:r w:rsidR="004728DB">
        <w:t xml:space="preserve"> sera </w:t>
      </w:r>
      <w:r w:rsidR="003326F6">
        <w:t>quasi-impossible</w:t>
      </w:r>
      <w:r w:rsidR="008E2C44">
        <w:t xml:space="preserve"> à extraire</w:t>
      </w:r>
      <w:r w:rsidR="00C36A72" w:rsidRPr="00C36A72">
        <w:t xml:space="preserve"> </w:t>
      </w:r>
      <w:r w:rsidR="00C36A72">
        <w:t>(et avant que le front syndical ne soit entièrement constitué ?).</w:t>
      </w:r>
    </w:p>
    <w:p w:rsidR="008D7097" w:rsidRDefault="008E2C44" w:rsidP="00E10D06">
      <w:pPr>
        <w:numPr>
          <w:ilvl w:val="0"/>
          <w:numId w:val="12"/>
        </w:numPr>
        <w:spacing w:before="240" w:after="0" w:line="264" w:lineRule="auto"/>
        <w:ind w:left="284" w:hanging="284"/>
        <w:jc w:val="both"/>
      </w:pPr>
      <w:r w:rsidRPr="00FF3A13">
        <w:rPr>
          <w:b/>
        </w:rPr>
        <w:t>L</w:t>
      </w:r>
      <w:r w:rsidR="008D7097" w:rsidRPr="00FF3A13">
        <w:rPr>
          <w:b/>
        </w:rPr>
        <w:t>a sécurisation de la mobilité et de la formation</w:t>
      </w:r>
      <w:r w:rsidR="008D7097">
        <w:t xml:space="preserve"> peut être un autre vrai point d’accroche. </w:t>
      </w:r>
      <w:r w:rsidR="00300259">
        <w:t>Car l</w:t>
      </w:r>
      <w:r w:rsidR="008D7097" w:rsidRPr="00300259">
        <w:t xml:space="preserve">’envie de mobilité </w:t>
      </w:r>
      <w:r w:rsidR="00FF3A13" w:rsidRPr="00300259">
        <w:t xml:space="preserve">et d’évolution </w:t>
      </w:r>
      <w:r w:rsidR="008D7097" w:rsidRPr="00300259">
        <w:t>est réelle,</w:t>
      </w:r>
      <w:r w:rsidR="008D7097">
        <w:t xml:space="preserve"> y compris auprès des milieux populaires fragilisés. M</w:t>
      </w:r>
      <w:r w:rsidR="008D7097" w:rsidRPr="004728DB">
        <w:t>ais</w:t>
      </w:r>
      <w:r w:rsidR="008D7097">
        <w:t xml:space="preserve"> </w:t>
      </w:r>
      <w:r w:rsidR="00B97FFB">
        <w:t>le système actuel est trop compliqué (</w:t>
      </w:r>
      <w:r>
        <w:t>trop difficile de</w:t>
      </w:r>
      <w:r w:rsidR="00B97FFB">
        <w:t xml:space="preserve"> trouver les bonnes informations) et très insécurisant (sentiment de se jeter d’une falaise en essayant d’agripper la paroi d’en face…).</w:t>
      </w:r>
    </w:p>
    <w:p w:rsidR="00B97FFB" w:rsidRDefault="003326F6" w:rsidP="00B97FFB">
      <w:pPr>
        <w:spacing w:before="120" w:after="0" w:line="264" w:lineRule="auto"/>
        <w:ind w:left="284"/>
        <w:jc w:val="both"/>
      </w:pPr>
      <w:r>
        <w:t>S</w:t>
      </w:r>
      <w:r w:rsidR="00B97FFB">
        <w:t xml:space="preserve">écuriser de façon claire </w:t>
      </w:r>
      <w:r w:rsidR="00FF3A13">
        <w:t>ces transitions et formations</w:t>
      </w:r>
      <w:r w:rsidR="00B97FFB">
        <w:t xml:space="preserve"> serait un vrai </w:t>
      </w:r>
      <w:r w:rsidR="00B97FFB" w:rsidRPr="00300259">
        <w:rPr>
          <w:b/>
        </w:rPr>
        <w:t xml:space="preserve">levier pour </w:t>
      </w:r>
      <w:r w:rsidRPr="00300259">
        <w:rPr>
          <w:b/>
        </w:rPr>
        <w:t xml:space="preserve">amoindrir </w:t>
      </w:r>
      <w:r w:rsidR="0002488E" w:rsidRPr="00300259">
        <w:rPr>
          <w:b/>
        </w:rPr>
        <w:t>la dangerosité de la menace</w:t>
      </w:r>
      <w:r w:rsidR="0002488E">
        <w:t xml:space="preserve"> perçue</w:t>
      </w:r>
      <w:r w:rsidR="00B97FFB">
        <w:t xml:space="preserve">. </w:t>
      </w:r>
      <w:r w:rsidR="00B97FFB" w:rsidRPr="008E2C44">
        <w:rPr>
          <w:b/>
        </w:rPr>
        <w:t>P</w:t>
      </w:r>
      <w:r w:rsidR="004728DB" w:rsidRPr="008E2C44">
        <w:rPr>
          <w:b/>
        </w:rPr>
        <w:t xml:space="preserve">eut-on </w:t>
      </w:r>
      <w:r w:rsidR="00B97FFB" w:rsidRPr="008E2C44">
        <w:rPr>
          <w:b/>
        </w:rPr>
        <w:t xml:space="preserve">reprendre et insérer le CPA (à ce stade pas du tout mémorisé) </w:t>
      </w:r>
      <w:r w:rsidR="004728DB" w:rsidRPr="008E2C44">
        <w:rPr>
          <w:b/>
        </w:rPr>
        <w:t>dans un « plan » ou un « programme</w:t>
      </w:r>
      <w:r w:rsidR="00B97FFB" w:rsidRPr="008E2C44">
        <w:rPr>
          <w:b/>
        </w:rPr>
        <w:t> » plus large et plus visible</w:t>
      </w:r>
      <w:r w:rsidR="004728DB" w:rsidRPr="008E2C44">
        <w:rPr>
          <w:b/>
        </w:rPr>
        <w:t xml:space="preserve"> </w:t>
      </w:r>
      <w:r w:rsidR="00B97FFB" w:rsidRPr="008E2C44">
        <w:rPr>
          <w:b/>
        </w:rPr>
        <w:t>« </w:t>
      </w:r>
      <w:r w:rsidR="004728DB" w:rsidRPr="008E2C44">
        <w:rPr>
          <w:b/>
        </w:rPr>
        <w:t>d’évolution et de sécurisation personnelle »</w:t>
      </w:r>
      <w:r w:rsidR="0002488E" w:rsidRPr="008E2C44">
        <w:rPr>
          <w:b/>
        </w:rPr>
        <w:t>,</w:t>
      </w:r>
      <w:r w:rsidR="0002488E">
        <w:t xml:space="preserve"> qui pourrait s’il est vu comme crédible rassurer les gens</w:t>
      </w:r>
      <w:r w:rsidR="00B97FFB">
        <w:t> ?</w:t>
      </w:r>
    </w:p>
    <w:p w:rsidR="00DC6AE1" w:rsidRDefault="0002488E" w:rsidP="005C3138">
      <w:pPr>
        <w:spacing w:before="120" w:after="0" w:line="264" w:lineRule="auto"/>
        <w:ind w:left="284"/>
        <w:jc w:val="both"/>
      </w:pPr>
      <w:r>
        <w:t>Faire</w:t>
      </w:r>
      <w:r w:rsidR="00300259">
        <w:t xml:space="preserve"> visiblement</w:t>
      </w:r>
      <w:r>
        <w:t xml:space="preserve"> la démarche</w:t>
      </w:r>
      <w:r w:rsidR="00B97FFB">
        <w:t xml:space="preserve"> </w:t>
      </w:r>
      <w:r w:rsidR="00B97FFB" w:rsidRPr="008E2C44">
        <w:rPr>
          <w:b/>
        </w:rPr>
        <w:t>« d’ajouter »</w:t>
      </w:r>
      <w:r w:rsidRPr="008E2C44">
        <w:rPr>
          <w:b/>
        </w:rPr>
        <w:t xml:space="preserve"> quelque chose au projet</w:t>
      </w:r>
      <w:r>
        <w:t xml:space="preserve"> plutôt</w:t>
      </w:r>
      <w:r w:rsidR="00B97FFB">
        <w:t xml:space="preserve"> que de « retrancher »</w:t>
      </w:r>
      <w:r w:rsidR="00757965">
        <w:t xml:space="preserve"> permettrait également de combattre </w:t>
      </w:r>
      <w:r w:rsidR="00B97FFB">
        <w:t>le</w:t>
      </w:r>
      <w:r w:rsidR="00B97FFB" w:rsidRPr="008708FA">
        <w:t xml:space="preserve"> récit </w:t>
      </w:r>
      <w:r w:rsidR="00B97FFB">
        <w:t>du « </w:t>
      </w:r>
      <w:r w:rsidR="00B97FFB" w:rsidRPr="008708FA">
        <w:t>r</w:t>
      </w:r>
      <w:r w:rsidR="00B97FFB">
        <w:t>etour en arrière / détricotage »</w:t>
      </w:r>
      <w:r w:rsidR="00757965">
        <w:t xml:space="preserve"> </w:t>
      </w:r>
      <w:r w:rsidR="00B97FFB" w:rsidRPr="008708FA">
        <w:t xml:space="preserve">qui </w:t>
      </w:r>
      <w:r w:rsidR="00B97FFB">
        <w:t>sera impossible à tenir</w:t>
      </w:r>
      <w:r w:rsidR="00FF3A13">
        <w:t xml:space="preserve"> s’il s’installe</w:t>
      </w:r>
      <w:r w:rsidR="00757965">
        <w:t>.</w:t>
      </w:r>
      <w:r w:rsidR="005C3138">
        <w:t xml:space="preserve"> </w:t>
      </w:r>
      <w:r w:rsidR="00DC6AE1" w:rsidRPr="00300259">
        <w:rPr>
          <w:b/>
        </w:rPr>
        <w:t>C</w:t>
      </w:r>
      <w:r w:rsidR="00FF3A13" w:rsidRPr="00300259">
        <w:rPr>
          <w:b/>
        </w:rPr>
        <w:t>’est aussi ce qui</w:t>
      </w:r>
      <w:r w:rsidR="00DC6AE1" w:rsidRPr="00300259">
        <w:rPr>
          <w:b/>
        </w:rPr>
        <w:t xml:space="preserve"> détermine</w:t>
      </w:r>
      <w:r w:rsidR="00FF3A13" w:rsidRPr="00300259">
        <w:rPr>
          <w:b/>
        </w:rPr>
        <w:t xml:space="preserve">ra </w:t>
      </w:r>
      <w:r w:rsidR="00FF3A13" w:rsidRPr="00300259">
        <w:rPr>
          <w:b/>
          <w:i/>
        </w:rPr>
        <w:t>in fine</w:t>
      </w:r>
      <w:r w:rsidR="00DC6AE1" w:rsidRPr="00300259">
        <w:rPr>
          <w:b/>
        </w:rPr>
        <w:t xml:space="preserve"> l’histoire qui s’écrira </w:t>
      </w:r>
      <w:r w:rsidR="005C3138" w:rsidRPr="00300259">
        <w:rPr>
          <w:b/>
        </w:rPr>
        <w:t>avec cette loi</w:t>
      </w:r>
      <w:r w:rsidR="005C3138">
        <w:t> :</w:t>
      </w:r>
      <w:r w:rsidR="00DC6AE1">
        <w:t xml:space="preserve"> </w:t>
      </w:r>
      <w:r w:rsidR="00DC6AE1" w:rsidRPr="00300259">
        <w:t>resterons-nous</w:t>
      </w:r>
      <w:r w:rsidR="005C3138" w:rsidRPr="00300259">
        <w:t xml:space="preserve"> </w:t>
      </w:r>
      <w:r w:rsidR="00DC6AE1" w:rsidRPr="00300259">
        <w:t xml:space="preserve">comme les </w:t>
      </w:r>
      <w:r w:rsidR="00300259" w:rsidRPr="00300259">
        <w:t>« </w:t>
      </w:r>
      <w:r w:rsidR="00FF3A13" w:rsidRPr="00300259">
        <w:t>destructeurs</w:t>
      </w:r>
      <w:r w:rsidR="00300259" w:rsidRPr="00300259">
        <w:t> »</w:t>
      </w:r>
      <w:r w:rsidR="00FF3A13" w:rsidRPr="00300259">
        <w:t xml:space="preserve"> </w:t>
      </w:r>
      <w:r w:rsidR="00DC6AE1" w:rsidRPr="00300259">
        <w:t>d’acquis qui seront « revenus en arrière » ou comme les « rénovateurs » qui auront posé les bases d’autre chose</w:t>
      </w:r>
      <w:r w:rsidR="00FF3A13" w:rsidRPr="00300259">
        <w:t> ?</w:t>
      </w:r>
    </w:p>
    <w:p w:rsidR="00DC6AE1" w:rsidRDefault="005C3138" w:rsidP="00C36A72">
      <w:pPr>
        <w:spacing w:before="240" w:after="0" w:line="264" w:lineRule="auto"/>
        <w:jc w:val="both"/>
      </w:pPr>
      <w:r>
        <w:t>Enfin de façon annexe :</w:t>
      </w:r>
    </w:p>
    <w:p w:rsidR="005C3138" w:rsidRDefault="005C3138" w:rsidP="00C36A72">
      <w:pPr>
        <w:numPr>
          <w:ilvl w:val="0"/>
          <w:numId w:val="12"/>
        </w:numPr>
        <w:spacing w:before="240" w:after="0" w:line="264" w:lineRule="auto"/>
        <w:ind w:left="284" w:hanging="284"/>
        <w:jc w:val="both"/>
      </w:pPr>
      <w:r w:rsidRPr="00FF3A13">
        <w:rPr>
          <w:b/>
        </w:rPr>
        <w:t xml:space="preserve">La pétition en ligne </w:t>
      </w:r>
      <w:r>
        <w:t xml:space="preserve">est en train de devenir un objet de cristallisation, et mérite un </w:t>
      </w:r>
      <w:r w:rsidRPr="00FF3A13">
        <w:rPr>
          <w:b/>
        </w:rPr>
        <w:t>traitement à part</w:t>
      </w:r>
      <w:r>
        <w:t xml:space="preserve">. Il serait utile </w:t>
      </w:r>
      <w:r w:rsidR="00FF3A13" w:rsidRPr="00FF3A13">
        <w:rPr>
          <w:b/>
        </w:rPr>
        <w:t>pour</w:t>
      </w:r>
      <w:r w:rsidR="00300259">
        <w:rPr>
          <w:b/>
        </w:rPr>
        <w:t xml:space="preserve">suivre son démontage spécifique – </w:t>
      </w:r>
      <w:r w:rsidR="00FF3A13" w:rsidRPr="00FF3A13">
        <w:rPr>
          <w:b/>
        </w:rPr>
        <w:t>implication du PM</w:t>
      </w:r>
      <w:r w:rsidR="00FF3A13">
        <w:t xml:space="preserve"> au-delà de M. El-Khomri ?</w:t>
      </w:r>
      <w:r w:rsidR="00300259">
        <w:t xml:space="preserve"> –</w:t>
      </w:r>
      <w:r>
        <w:t xml:space="preserve"> pour montrer aux gens qui </w:t>
      </w:r>
      <w:r w:rsidR="00FE09CC">
        <w:t>l’</w:t>
      </w:r>
      <w:r>
        <w:t xml:space="preserve">ont </w:t>
      </w:r>
      <w:r w:rsidR="00FE09CC">
        <w:t>signé</w:t>
      </w:r>
      <w:r w:rsidR="00300259">
        <w:t xml:space="preserve"> (</w:t>
      </w:r>
      <w:r w:rsidR="00FE09CC">
        <w:t xml:space="preserve">sincèrement </w:t>
      </w:r>
      <w:r>
        <w:t>dans leur grande majorité</w:t>
      </w:r>
      <w:r w:rsidR="00300259">
        <w:t>)</w:t>
      </w:r>
      <w:r>
        <w:t xml:space="preserve"> qu’ils se font fait emporter par un </w:t>
      </w:r>
      <w:r w:rsidRPr="00FF3A13">
        <w:rPr>
          <w:b/>
        </w:rPr>
        <w:t>texte décalé ou devenu caduc</w:t>
      </w:r>
      <w:r>
        <w:t xml:space="preserve"> </w:t>
      </w:r>
      <w:r w:rsidR="00FF3A13">
        <w:t xml:space="preserve">- </w:t>
      </w:r>
      <w:r w:rsidR="00FE09CC">
        <w:t xml:space="preserve">surtout </w:t>
      </w:r>
      <w:r>
        <w:t xml:space="preserve">si nous </w:t>
      </w:r>
      <w:r w:rsidR="00FE09CC">
        <w:t>corrigeons</w:t>
      </w:r>
      <w:r>
        <w:t xml:space="preserve"> </w:t>
      </w:r>
      <w:r w:rsidR="00FE09CC">
        <w:t>d</w:t>
      </w:r>
      <w:r w:rsidR="00FF3A13">
        <w:t>es mesures</w:t>
      </w:r>
      <w:r>
        <w:t>.</w:t>
      </w:r>
    </w:p>
    <w:p w:rsidR="005C3138" w:rsidRDefault="00B96F9B" w:rsidP="00C36A72">
      <w:pPr>
        <w:numPr>
          <w:ilvl w:val="0"/>
          <w:numId w:val="12"/>
        </w:numPr>
        <w:spacing w:before="240" w:after="0" w:line="264" w:lineRule="auto"/>
        <w:ind w:left="284" w:hanging="284"/>
        <w:jc w:val="both"/>
      </w:pPr>
      <w:r w:rsidRPr="002E7A4D">
        <w:rPr>
          <w:b/>
        </w:rPr>
        <w:t>La réunion des sociaux-démocrates du 12 mars</w:t>
      </w:r>
      <w:r>
        <w:t xml:space="preserve"> pourrait être l’occasion de </w:t>
      </w:r>
      <w:r w:rsidRPr="00300259">
        <w:rPr>
          <w:b/>
        </w:rPr>
        <w:t>m</w:t>
      </w:r>
      <w:r w:rsidR="00FE09CC" w:rsidRPr="00300259">
        <w:rPr>
          <w:b/>
        </w:rPr>
        <w:t>ettre en scène l</w:t>
      </w:r>
      <w:r w:rsidRPr="00300259">
        <w:rPr>
          <w:b/>
        </w:rPr>
        <w:t xml:space="preserve">’accord avec </w:t>
      </w:r>
      <w:r w:rsidR="00FF3A13" w:rsidRPr="00300259">
        <w:rPr>
          <w:b/>
        </w:rPr>
        <w:t>la gauche européenne</w:t>
      </w:r>
      <w:r w:rsidR="00FF3A13">
        <w:t xml:space="preserve"> : </w:t>
      </w:r>
      <w:r w:rsidRPr="002E7A4D">
        <w:rPr>
          <w:i/>
        </w:rPr>
        <w:t>workshop</w:t>
      </w:r>
      <w:r w:rsidR="00300259">
        <w:t xml:space="preserve"> restreint en marge du sommet</w:t>
      </w:r>
      <w:r>
        <w:t xml:space="preserve"> avec M. </w:t>
      </w:r>
      <w:proofErr w:type="spellStart"/>
      <w:r>
        <w:t>Renzi</w:t>
      </w:r>
      <w:proofErr w:type="spellEnd"/>
      <w:r>
        <w:t xml:space="preserve">, un SPD, quelques nordiques </w:t>
      </w:r>
      <w:r w:rsidR="002E7A4D">
        <w:t>sur</w:t>
      </w:r>
      <w:r>
        <w:t xml:space="preserve"> </w:t>
      </w:r>
      <w:r w:rsidR="002E7A4D">
        <w:t>l</w:t>
      </w:r>
      <w:r>
        <w:t xml:space="preserve">es réformes du droit du travail menées </w:t>
      </w:r>
      <w:r w:rsidR="002E7A4D">
        <w:t xml:space="preserve">par chacun </w:t>
      </w:r>
      <w:r>
        <w:t>et leur philosophie</w:t>
      </w:r>
      <w:r w:rsidR="002E7A4D">
        <w:t xml:space="preserve"> pour </w:t>
      </w:r>
      <w:r w:rsidR="002E7A4D" w:rsidRPr="002E7A4D">
        <w:rPr>
          <w:b/>
        </w:rPr>
        <w:t>montrer une inspiration de ce qui fonctionne ailleurs</w:t>
      </w:r>
      <w:r>
        <w:t> ; affichage d’un soutien des</w:t>
      </w:r>
      <w:r w:rsidR="002E7A4D">
        <w:t xml:space="preserve"> principaux</w:t>
      </w:r>
      <w:r>
        <w:t xml:space="preserve"> socia</w:t>
      </w:r>
      <w:r w:rsidR="002E7A4D">
        <w:t>ux</w:t>
      </w:r>
      <w:r>
        <w:t>-démocrates eu</w:t>
      </w:r>
      <w:r w:rsidR="002E7A4D">
        <w:t>ropéennes aux réformes engagées en France</w:t>
      </w:r>
      <w:r>
        <w:t xml:space="preserve"> pour </w:t>
      </w:r>
      <w:r w:rsidRPr="002E7A4D">
        <w:rPr>
          <w:b/>
        </w:rPr>
        <w:t>déstabiliser le procès en trahison de la gauche</w:t>
      </w:r>
      <w:r>
        <w:t> ; …</w:t>
      </w:r>
    </w:p>
    <w:p w:rsidR="00692B88" w:rsidRDefault="00692B88" w:rsidP="00873164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5270E9" w:rsidRPr="00F62DF5" w:rsidRDefault="00692B88" w:rsidP="00C36A72">
      <w:pPr>
        <w:tabs>
          <w:tab w:val="left" w:pos="6804"/>
        </w:tabs>
        <w:spacing w:before="120" w:after="0" w:line="264" w:lineRule="auto"/>
        <w:ind w:left="641"/>
        <w:jc w:val="both"/>
        <w:rPr>
          <w:sz w:val="23"/>
          <w:szCs w:val="23"/>
        </w:rPr>
      </w:pPr>
      <w:r>
        <w:rPr>
          <w:sz w:val="23"/>
          <w:szCs w:val="23"/>
        </w:rPr>
        <w:tab/>
        <w:t>Adrien ABECASSIS</w:t>
      </w:r>
    </w:p>
    <w:sectPr w:rsidR="005270E9" w:rsidRPr="00F62DF5" w:rsidSect="00C54669">
      <w:pgSz w:w="11906" w:h="16838"/>
      <w:pgMar w:top="79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B24"/>
    <w:multiLevelType w:val="hybridMultilevel"/>
    <w:tmpl w:val="42D43E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DA10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4CB"/>
    <w:multiLevelType w:val="hybridMultilevel"/>
    <w:tmpl w:val="D194B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5AA"/>
    <w:multiLevelType w:val="hybridMultilevel"/>
    <w:tmpl w:val="14988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E4B"/>
    <w:multiLevelType w:val="hybridMultilevel"/>
    <w:tmpl w:val="C3761752"/>
    <w:lvl w:ilvl="0" w:tplc="E8EE7A2E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7F47"/>
    <w:multiLevelType w:val="hybridMultilevel"/>
    <w:tmpl w:val="134A4AA2"/>
    <w:lvl w:ilvl="0" w:tplc="81B43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1609"/>
    <w:multiLevelType w:val="hybridMultilevel"/>
    <w:tmpl w:val="10B2C692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7A6183A"/>
    <w:multiLevelType w:val="hybridMultilevel"/>
    <w:tmpl w:val="D952E106"/>
    <w:lvl w:ilvl="0" w:tplc="6882D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25E6A"/>
    <w:multiLevelType w:val="hybridMultilevel"/>
    <w:tmpl w:val="A31AA61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9944CE"/>
    <w:multiLevelType w:val="hybridMultilevel"/>
    <w:tmpl w:val="B72CA234"/>
    <w:lvl w:ilvl="0" w:tplc="4064AE2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CC34A0"/>
    <w:multiLevelType w:val="hybridMultilevel"/>
    <w:tmpl w:val="3FEEE73E"/>
    <w:lvl w:ilvl="0" w:tplc="A33A535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B353ED"/>
    <w:multiLevelType w:val="hybridMultilevel"/>
    <w:tmpl w:val="3E1C1F5E"/>
    <w:lvl w:ilvl="0" w:tplc="81B4383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45657C"/>
    <w:multiLevelType w:val="hybridMultilevel"/>
    <w:tmpl w:val="07F45A6E"/>
    <w:lvl w:ilvl="0" w:tplc="C1F465E4">
      <w:start w:val="10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640E7C"/>
    <w:multiLevelType w:val="hybridMultilevel"/>
    <w:tmpl w:val="3902783E"/>
    <w:lvl w:ilvl="0" w:tplc="74BCB33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E3150"/>
    <w:multiLevelType w:val="hybridMultilevel"/>
    <w:tmpl w:val="670CB6E2"/>
    <w:lvl w:ilvl="0" w:tplc="69FEB4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A5EAA"/>
    <w:multiLevelType w:val="hybridMultilevel"/>
    <w:tmpl w:val="D4D22A96"/>
    <w:lvl w:ilvl="0" w:tplc="52D660D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650711">
    <w:abstractNumId w:val="10"/>
  </w:num>
  <w:num w:numId="2" w16cid:durableId="278724628">
    <w:abstractNumId w:val="6"/>
  </w:num>
  <w:num w:numId="3" w16cid:durableId="601840503">
    <w:abstractNumId w:val="5"/>
  </w:num>
  <w:num w:numId="4" w16cid:durableId="1088621648">
    <w:abstractNumId w:val="0"/>
  </w:num>
  <w:num w:numId="5" w16cid:durableId="287126161">
    <w:abstractNumId w:val="4"/>
  </w:num>
  <w:num w:numId="6" w16cid:durableId="648363778">
    <w:abstractNumId w:val="11"/>
  </w:num>
  <w:num w:numId="7" w16cid:durableId="1905141125">
    <w:abstractNumId w:val="13"/>
  </w:num>
  <w:num w:numId="8" w16cid:durableId="377247759">
    <w:abstractNumId w:val="2"/>
  </w:num>
  <w:num w:numId="9" w16cid:durableId="2034458991">
    <w:abstractNumId w:val="14"/>
  </w:num>
  <w:num w:numId="10" w16cid:durableId="623191636">
    <w:abstractNumId w:val="9"/>
  </w:num>
  <w:num w:numId="11" w16cid:durableId="329063547">
    <w:abstractNumId w:val="12"/>
  </w:num>
  <w:num w:numId="12" w16cid:durableId="1662343543">
    <w:abstractNumId w:val="8"/>
  </w:num>
  <w:num w:numId="13" w16cid:durableId="18143273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36031504">
    <w:abstractNumId w:val="1"/>
  </w:num>
  <w:num w:numId="15" w16cid:durableId="1762070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0DE"/>
    <w:rsid w:val="0002488E"/>
    <w:rsid w:val="00063DEB"/>
    <w:rsid w:val="00085F0E"/>
    <w:rsid w:val="000A6D06"/>
    <w:rsid w:val="000B2FE4"/>
    <w:rsid w:val="0010111B"/>
    <w:rsid w:val="00154C9F"/>
    <w:rsid w:val="0019748E"/>
    <w:rsid w:val="00200FDD"/>
    <w:rsid w:val="002241E1"/>
    <w:rsid w:val="00284DEC"/>
    <w:rsid w:val="002E7A4D"/>
    <w:rsid w:val="002E7EE0"/>
    <w:rsid w:val="00300259"/>
    <w:rsid w:val="00331216"/>
    <w:rsid w:val="003326F6"/>
    <w:rsid w:val="003548F9"/>
    <w:rsid w:val="00356408"/>
    <w:rsid w:val="00386BE1"/>
    <w:rsid w:val="00403EC6"/>
    <w:rsid w:val="004728DB"/>
    <w:rsid w:val="004B0ABE"/>
    <w:rsid w:val="004D2081"/>
    <w:rsid w:val="005270E9"/>
    <w:rsid w:val="005434F6"/>
    <w:rsid w:val="00573F10"/>
    <w:rsid w:val="005A3EC0"/>
    <w:rsid w:val="005C0098"/>
    <w:rsid w:val="005C3138"/>
    <w:rsid w:val="005C439A"/>
    <w:rsid w:val="005D3E5F"/>
    <w:rsid w:val="005D6E8D"/>
    <w:rsid w:val="00692B88"/>
    <w:rsid w:val="006F2E96"/>
    <w:rsid w:val="00723D20"/>
    <w:rsid w:val="00757965"/>
    <w:rsid w:val="0076712F"/>
    <w:rsid w:val="007D2810"/>
    <w:rsid w:val="00800138"/>
    <w:rsid w:val="008365FF"/>
    <w:rsid w:val="00836941"/>
    <w:rsid w:val="008708FA"/>
    <w:rsid w:val="00873164"/>
    <w:rsid w:val="00881970"/>
    <w:rsid w:val="008D7097"/>
    <w:rsid w:val="008E2C44"/>
    <w:rsid w:val="009369DC"/>
    <w:rsid w:val="009575BB"/>
    <w:rsid w:val="009B4ED4"/>
    <w:rsid w:val="00A03615"/>
    <w:rsid w:val="00A23FE4"/>
    <w:rsid w:val="00A36084"/>
    <w:rsid w:val="00A619C2"/>
    <w:rsid w:val="00A9313A"/>
    <w:rsid w:val="00AA50DE"/>
    <w:rsid w:val="00AB5323"/>
    <w:rsid w:val="00AC38BF"/>
    <w:rsid w:val="00AD43E8"/>
    <w:rsid w:val="00AF6DDB"/>
    <w:rsid w:val="00B13A3F"/>
    <w:rsid w:val="00B22C85"/>
    <w:rsid w:val="00B333B0"/>
    <w:rsid w:val="00B96F9B"/>
    <w:rsid w:val="00B97FFB"/>
    <w:rsid w:val="00BE641B"/>
    <w:rsid w:val="00C36A72"/>
    <w:rsid w:val="00C54669"/>
    <w:rsid w:val="00C65820"/>
    <w:rsid w:val="00C668A1"/>
    <w:rsid w:val="00C8287B"/>
    <w:rsid w:val="00C877E3"/>
    <w:rsid w:val="00D15661"/>
    <w:rsid w:val="00D20C13"/>
    <w:rsid w:val="00D24B93"/>
    <w:rsid w:val="00D97A7C"/>
    <w:rsid w:val="00DB2317"/>
    <w:rsid w:val="00DC6AE1"/>
    <w:rsid w:val="00DF2E77"/>
    <w:rsid w:val="00E10D06"/>
    <w:rsid w:val="00E504B1"/>
    <w:rsid w:val="00E50FD6"/>
    <w:rsid w:val="00EB3DBC"/>
    <w:rsid w:val="00ED037F"/>
    <w:rsid w:val="00F0312C"/>
    <w:rsid w:val="00F46B05"/>
    <w:rsid w:val="00F62DF5"/>
    <w:rsid w:val="00FE09CC"/>
    <w:rsid w:val="00FF0CDD"/>
    <w:rsid w:val="00FF3A13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4449F9-FD42-4C07-8E00-F4917FDB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E1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970</Words>
  <Characters>5535</Characters>
  <Application>Microsoft Office Word</Application>
  <DocSecurity>4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2016-02-23T09:20:00Z</cp:lastPrinted>
  <dcterms:created xsi:type="dcterms:W3CDTF">2017-04-24T13:25:00Z</dcterms:created>
  <dcterms:modified xsi:type="dcterms:W3CDTF">2017-04-24T13:25:00Z</dcterms:modified>
</cp:coreProperties>
</file>