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7F20" w:rsidRPr="00954856" w:rsidRDefault="004C7F20" w:rsidP="004C7F2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C7F20" w:rsidRPr="00954856" w:rsidRDefault="004C7F20" w:rsidP="004C7F20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71041E">
        <w:rPr>
          <w:rFonts w:ascii="Times New Roman" w:eastAsia="Times New Roman" w:hAnsi="Times New Roman"/>
          <w:color w:val="0D0D0D"/>
          <w:sz w:val="23"/>
          <w:szCs w:val="23"/>
        </w:rPr>
        <w:t>8</w:t>
      </w:r>
      <w:r w:rsidR="001D71BF">
        <w:rPr>
          <w:rFonts w:ascii="Times New Roman" w:eastAsia="Times New Roman" w:hAnsi="Times New Roman"/>
          <w:color w:val="0D0D0D"/>
          <w:sz w:val="23"/>
          <w:szCs w:val="23"/>
        </w:rPr>
        <w:t xml:space="preserve"> mars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4C7F20" w:rsidRPr="00954856" w:rsidRDefault="004C7F20" w:rsidP="004C7F2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C7F2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8B70D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C7F20" w:rsidRPr="00954856" w:rsidRDefault="004C7F20" w:rsidP="004C7F2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C7F20" w:rsidRPr="00954856" w:rsidRDefault="004C7F20" w:rsidP="004C7F2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4C7F20" w:rsidRPr="008A1BB0" w:rsidRDefault="004C7F20" w:rsidP="004C7F20">
      <w:pPr>
        <w:spacing w:before="120" w:after="0" w:line="264" w:lineRule="auto"/>
        <w:jc w:val="both"/>
        <w:rPr>
          <w:rFonts w:ascii="Calibri Light" w:hAnsi="Calibri Light"/>
          <w:sz w:val="20"/>
          <w:szCs w:val="20"/>
        </w:rPr>
      </w:pPr>
    </w:p>
    <w:p w:rsidR="004C7F20" w:rsidRPr="008A1BB0" w:rsidRDefault="004C7F20" w:rsidP="004C7F20">
      <w:pPr>
        <w:spacing w:before="120" w:after="0" w:line="257" w:lineRule="auto"/>
        <w:jc w:val="both"/>
        <w:rPr>
          <w:rFonts w:ascii="Calibri Light" w:hAnsi="Calibri Light"/>
          <w:b/>
          <w:i/>
          <w:sz w:val="23"/>
          <w:szCs w:val="23"/>
          <w:u w:val="single"/>
        </w:rPr>
      </w:pPr>
      <w:r w:rsidRPr="008A1BB0">
        <w:rPr>
          <w:rFonts w:ascii="Calibri Light" w:hAnsi="Calibri Light"/>
          <w:b/>
          <w:i/>
          <w:smallCaps/>
          <w:sz w:val="23"/>
          <w:szCs w:val="23"/>
        </w:rPr>
        <w:t>Objet</w:t>
      </w:r>
      <w:r w:rsidRPr="008A1BB0">
        <w:rPr>
          <w:rFonts w:ascii="Calibri Light" w:hAnsi="Calibri Light"/>
          <w:i/>
          <w:sz w:val="23"/>
          <w:szCs w:val="23"/>
        </w:rPr>
        <w:t xml:space="preserve"> : </w:t>
      </w:r>
      <w:r w:rsidR="0071041E" w:rsidRPr="008A1BB0">
        <w:rPr>
          <w:rFonts w:ascii="Calibri Light" w:hAnsi="Calibri Light"/>
          <w:b/>
          <w:i/>
          <w:u w:val="single"/>
        </w:rPr>
        <w:t>Jugement des jeunes sur la loi</w:t>
      </w:r>
      <w:r w:rsidRPr="008A1BB0">
        <w:rPr>
          <w:rFonts w:ascii="Calibri Light" w:hAnsi="Calibri Light"/>
          <w:b/>
          <w:i/>
          <w:u w:val="single"/>
        </w:rPr>
        <w:t xml:space="preserve"> travail</w:t>
      </w:r>
    </w:p>
    <w:p w:rsidR="0071041E" w:rsidRPr="008A1BB0" w:rsidRDefault="0071041E" w:rsidP="0071041E">
      <w:pPr>
        <w:pStyle w:val="ListParagraph"/>
        <w:numPr>
          <w:ilvl w:val="0"/>
          <w:numId w:val="12"/>
        </w:numPr>
        <w:spacing w:before="240" w:after="0" w:line="240" w:lineRule="auto"/>
        <w:ind w:left="0" w:hanging="284"/>
        <w:contextualSpacing w:val="0"/>
        <w:jc w:val="both"/>
        <w:rPr>
          <w:rFonts w:ascii="Calibri Light" w:eastAsia="Times New Roman" w:hAnsi="Calibri Light"/>
          <w:lang w:eastAsia="fr-FR"/>
        </w:rPr>
      </w:pPr>
      <w:proofErr w:type="spellStart"/>
      <w:r w:rsidRPr="008A1BB0">
        <w:rPr>
          <w:rFonts w:ascii="Calibri Light" w:eastAsia="Times New Roman" w:hAnsi="Calibri Light"/>
          <w:lang w:eastAsia="fr-FR"/>
        </w:rPr>
        <w:t>L’Ifop</w:t>
      </w:r>
      <w:proofErr w:type="spellEnd"/>
      <w:r w:rsidRPr="008A1BB0">
        <w:rPr>
          <w:rFonts w:ascii="Calibri Light" w:eastAsia="Times New Roman" w:hAnsi="Calibri Light"/>
          <w:lang w:eastAsia="fr-FR"/>
        </w:rPr>
        <w:t xml:space="preserve"> a mené pour l’Humanité un sondage auprès d’un </w:t>
      </w:r>
      <w:r w:rsidRPr="008A1BB0">
        <w:rPr>
          <w:rFonts w:ascii="Calibri Light" w:eastAsia="Times New Roman" w:hAnsi="Calibri Light"/>
          <w:b/>
          <w:u w:val="single"/>
          <w:lang w:eastAsia="fr-FR"/>
        </w:rPr>
        <w:t>échantillon de jeunes seulement</w:t>
      </w:r>
      <w:r w:rsidRPr="008A1BB0">
        <w:rPr>
          <w:rFonts w:ascii="Calibri Light" w:eastAsia="Times New Roman" w:hAnsi="Calibri Light"/>
          <w:lang w:eastAsia="fr-FR"/>
        </w:rPr>
        <w:t xml:space="preserve"> (18-29 ans).</w:t>
      </w:r>
    </w:p>
    <w:p w:rsidR="0071041E" w:rsidRPr="008A1BB0" w:rsidRDefault="0071041E" w:rsidP="0071041E">
      <w:pPr>
        <w:pStyle w:val="ListParagraph"/>
        <w:numPr>
          <w:ilvl w:val="0"/>
          <w:numId w:val="12"/>
        </w:numPr>
        <w:spacing w:before="240" w:after="0" w:line="240" w:lineRule="auto"/>
        <w:ind w:left="0" w:hanging="284"/>
        <w:contextualSpacing w:val="0"/>
        <w:jc w:val="both"/>
        <w:rPr>
          <w:rFonts w:ascii="Calibri Light" w:eastAsia="Times New Roman" w:hAnsi="Calibri Light"/>
          <w:lang w:eastAsia="fr-FR"/>
        </w:rPr>
      </w:pPr>
      <w:r w:rsidRPr="008A1BB0">
        <w:rPr>
          <w:rFonts w:ascii="Calibri Light" w:eastAsia="Times New Roman" w:hAnsi="Calibri Light"/>
          <w:b/>
          <w:lang w:eastAsia="fr-FR"/>
        </w:rPr>
        <w:t xml:space="preserve">L’opposition au projet </w:t>
      </w:r>
      <w:r w:rsidR="00F93ECB" w:rsidRPr="008A1BB0">
        <w:rPr>
          <w:rFonts w:ascii="Calibri Light" w:eastAsia="Times New Roman" w:hAnsi="Calibri Light"/>
          <w:b/>
          <w:lang w:eastAsia="fr-FR"/>
        </w:rPr>
        <w:t>de loi n’</w:t>
      </w:r>
      <w:r w:rsidRPr="008A1BB0">
        <w:rPr>
          <w:rFonts w:ascii="Calibri Light" w:eastAsia="Times New Roman" w:hAnsi="Calibri Light"/>
          <w:b/>
          <w:lang w:eastAsia="fr-FR"/>
        </w:rPr>
        <w:t>est</w:t>
      </w:r>
      <w:r w:rsidR="00A20A9F" w:rsidRPr="008A1BB0">
        <w:rPr>
          <w:rFonts w:ascii="Calibri Light" w:eastAsia="Times New Roman" w:hAnsi="Calibri Light"/>
          <w:b/>
          <w:lang w:eastAsia="fr-FR"/>
        </w:rPr>
        <w:t xml:space="preserve"> ni plus ni moins</w:t>
      </w:r>
      <w:r w:rsidRPr="008A1BB0">
        <w:rPr>
          <w:rFonts w:ascii="Calibri Light" w:eastAsia="Times New Roman" w:hAnsi="Calibri Light"/>
          <w:b/>
          <w:lang w:eastAsia="fr-FR"/>
        </w:rPr>
        <w:t xml:space="preserve"> forte que dans l’ensemble de la population</w:t>
      </w:r>
      <w:r w:rsidRPr="008A1BB0">
        <w:rPr>
          <w:rFonts w:ascii="Calibri Light" w:eastAsia="Times New Roman" w:hAnsi="Calibri Light"/>
          <w:lang w:eastAsia="fr-FR"/>
        </w:rPr>
        <w:t> : 68%, dont 25% « </w:t>
      </w:r>
      <w:r w:rsidRPr="008A1BB0">
        <w:rPr>
          <w:rFonts w:ascii="Calibri Light" w:eastAsia="Times New Roman" w:hAnsi="Calibri Light"/>
          <w:i/>
          <w:lang w:eastAsia="fr-FR"/>
        </w:rPr>
        <w:t>très opposés</w:t>
      </w:r>
      <w:r w:rsidRPr="008A1BB0">
        <w:rPr>
          <w:rFonts w:ascii="Calibri Light" w:eastAsia="Times New Roman" w:hAnsi="Calibri Light"/>
          <w:lang w:eastAsia="fr-FR"/>
        </w:rPr>
        <w:t xml:space="preserve"> ». </w:t>
      </w:r>
      <w:r w:rsidRPr="008A1BB0">
        <w:rPr>
          <w:rFonts w:ascii="Calibri Light" w:eastAsia="Times New Roman" w:hAnsi="Calibri Light"/>
          <w:b/>
          <w:lang w:eastAsia="fr-FR"/>
        </w:rPr>
        <w:t xml:space="preserve">Les étudiants de cet échantillon </w:t>
      </w:r>
      <w:r w:rsidR="0081788C" w:rsidRPr="008A1BB0">
        <w:rPr>
          <w:rFonts w:ascii="Calibri Light" w:eastAsia="Times New Roman" w:hAnsi="Calibri Light"/>
          <w:b/>
          <w:lang w:eastAsia="fr-FR"/>
        </w:rPr>
        <w:t>ne se différencient pas</w:t>
      </w:r>
      <w:r w:rsidRPr="008A1BB0">
        <w:rPr>
          <w:rFonts w:ascii="Calibri Light" w:eastAsia="Times New Roman" w:hAnsi="Calibri Light"/>
          <w:lang w:eastAsia="fr-FR"/>
        </w:rPr>
        <w:t xml:space="preserve"> (69% d’opposition, 23% très opposés).</w:t>
      </w:r>
      <w:r w:rsidR="0081788C" w:rsidRPr="008A1BB0">
        <w:rPr>
          <w:rFonts w:ascii="Calibri Light" w:eastAsia="Times New Roman" w:hAnsi="Calibri Light"/>
          <w:lang w:eastAsia="fr-FR"/>
        </w:rPr>
        <w:t xml:space="preserve"> </w:t>
      </w:r>
      <w:r w:rsidR="0081788C" w:rsidRPr="008A1BB0">
        <w:rPr>
          <w:rFonts w:ascii="Calibri Light" w:eastAsia="Times New Roman" w:hAnsi="Calibri Light"/>
          <w:b/>
          <w:lang w:eastAsia="fr-FR"/>
        </w:rPr>
        <w:t>Les jeunes sympathisants de gauche non plus</w:t>
      </w:r>
      <w:r w:rsidR="0081788C" w:rsidRPr="008A1BB0">
        <w:rPr>
          <w:rFonts w:ascii="Calibri Light" w:eastAsia="Times New Roman" w:hAnsi="Calibri Light"/>
          <w:lang w:eastAsia="fr-FR"/>
        </w:rPr>
        <w:t xml:space="preserve"> (30% de soutiens, 33% au PS).</w:t>
      </w:r>
    </w:p>
    <w:p w:rsidR="0071041E" w:rsidRPr="008A1BB0" w:rsidRDefault="0071041E" w:rsidP="0071041E">
      <w:pPr>
        <w:pStyle w:val="ListParagraph"/>
        <w:numPr>
          <w:ilvl w:val="0"/>
          <w:numId w:val="12"/>
        </w:numPr>
        <w:spacing w:before="240" w:after="0" w:line="240" w:lineRule="auto"/>
        <w:ind w:left="0" w:hanging="284"/>
        <w:contextualSpacing w:val="0"/>
        <w:jc w:val="both"/>
        <w:rPr>
          <w:rFonts w:ascii="Calibri Light" w:eastAsia="Times New Roman" w:hAnsi="Calibri Light"/>
          <w:lang w:eastAsia="fr-FR"/>
        </w:rPr>
      </w:pPr>
      <w:r w:rsidRPr="008A1BB0">
        <w:rPr>
          <w:rFonts w:ascii="Calibri Light" w:eastAsia="Times New Roman" w:hAnsi="Calibri Light"/>
          <w:spacing w:val="-2"/>
          <w:lang w:eastAsia="fr-FR"/>
        </w:rPr>
        <w:t xml:space="preserve">Parmi les propositions testées, récapitulées ci-dessous, </w:t>
      </w:r>
      <w:r w:rsidRPr="008A1BB0">
        <w:rPr>
          <w:rFonts w:ascii="Calibri Light" w:eastAsia="Times New Roman" w:hAnsi="Calibri Light"/>
          <w:b/>
          <w:spacing w:val="-2"/>
          <w:lang w:eastAsia="fr-FR"/>
        </w:rPr>
        <w:t>la facilitation du licenciement</w:t>
      </w:r>
      <w:r w:rsidRPr="008A1BB0">
        <w:rPr>
          <w:rFonts w:ascii="Calibri Light" w:eastAsia="Times New Roman" w:hAnsi="Calibri Light"/>
          <w:spacing w:val="-2"/>
          <w:lang w:eastAsia="fr-FR"/>
        </w:rPr>
        <w:t xml:space="preserve"> (avec une formulation </w:t>
      </w:r>
      <w:r w:rsidR="0081788C" w:rsidRPr="008A1BB0">
        <w:rPr>
          <w:rFonts w:ascii="Calibri Light" w:eastAsia="Times New Roman" w:hAnsi="Calibri Light"/>
          <w:spacing w:val="-2"/>
          <w:lang w:eastAsia="fr-FR"/>
        </w:rPr>
        <w:t>dure</w:t>
      </w:r>
      <w:r w:rsidRPr="008A1BB0">
        <w:rPr>
          <w:rFonts w:ascii="Calibri Light" w:eastAsia="Times New Roman" w:hAnsi="Calibri Light"/>
          <w:spacing w:val="-2"/>
          <w:lang w:eastAsia="fr-FR"/>
        </w:rPr>
        <w:t>) et une question qui</w:t>
      </w:r>
      <w:r w:rsidRPr="008A1BB0">
        <w:rPr>
          <w:rFonts w:ascii="Calibri Light" w:eastAsia="Times New Roman" w:hAnsi="Calibri Light"/>
          <w:lang w:eastAsia="fr-FR"/>
        </w:rPr>
        <w:t xml:space="preserve"> </w:t>
      </w:r>
      <w:r w:rsidR="0081788C" w:rsidRPr="008A1BB0">
        <w:rPr>
          <w:rFonts w:ascii="Calibri Light" w:eastAsia="Times New Roman" w:hAnsi="Calibri Light"/>
          <w:lang w:eastAsia="fr-FR"/>
        </w:rPr>
        <w:t>évoque</w:t>
      </w:r>
      <w:r w:rsidRPr="008A1BB0">
        <w:rPr>
          <w:rFonts w:ascii="Calibri Light" w:eastAsia="Times New Roman" w:hAnsi="Calibri Light"/>
          <w:lang w:eastAsia="fr-FR"/>
        </w:rPr>
        <w:t xml:space="preserve"> des </w:t>
      </w:r>
      <w:r w:rsidRPr="008A1BB0">
        <w:rPr>
          <w:rFonts w:ascii="Calibri Light" w:eastAsia="Times New Roman" w:hAnsi="Calibri Light"/>
          <w:b/>
          <w:lang w:eastAsia="fr-FR"/>
        </w:rPr>
        <w:t>baisses de salaires</w:t>
      </w:r>
      <w:r w:rsidR="00A20A9F" w:rsidRPr="008A1BB0">
        <w:rPr>
          <w:rFonts w:ascii="Calibri Light" w:eastAsia="Times New Roman" w:hAnsi="Calibri Light"/>
          <w:b/>
          <w:lang w:eastAsia="fr-FR"/>
        </w:rPr>
        <w:t xml:space="preserve"> </w:t>
      </w:r>
      <w:r w:rsidR="00A20A9F" w:rsidRPr="008A1BB0">
        <w:rPr>
          <w:rFonts w:ascii="Calibri Light" w:eastAsia="Times New Roman" w:hAnsi="Calibri Light"/>
          <w:lang w:eastAsia="fr-FR"/>
        </w:rPr>
        <w:t>sont les seules à</w:t>
      </w:r>
      <w:r w:rsidRPr="008A1BB0">
        <w:rPr>
          <w:rFonts w:ascii="Calibri Light" w:eastAsia="Times New Roman" w:hAnsi="Calibri Light"/>
          <w:lang w:eastAsia="fr-FR"/>
        </w:rPr>
        <w:t xml:space="preserve"> entraîne</w:t>
      </w:r>
      <w:r w:rsidR="00A20A9F" w:rsidRPr="008A1BB0">
        <w:rPr>
          <w:rFonts w:ascii="Calibri Light" w:eastAsia="Times New Roman" w:hAnsi="Calibri Light"/>
          <w:lang w:eastAsia="fr-FR"/>
        </w:rPr>
        <w:t>r</w:t>
      </w:r>
      <w:r w:rsidRPr="008A1BB0">
        <w:rPr>
          <w:rFonts w:ascii="Calibri Light" w:eastAsia="Times New Roman" w:hAnsi="Calibri Light"/>
          <w:lang w:eastAsia="fr-FR"/>
        </w:rPr>
        <w:t xml:space="preserve"> un rejet </w:t>
      </w:r>
      <w:r w:rsidR="0081788C" w:rsidRPr="008A1BB0">
        <w:rPr>
          <w:rFonts w:ascii="Calibri Light" w:eastAsia="Times New Roman" w:hAnsi="Calibri Light"/>
          <w:lang w:eastAsia="fr-FR"/>
        </w:rPr>
        <w:t>franc</w:t>
      </w:r>
      <w:r w:rsidRPr="008A1BB0">
        <w:rPr>
          <w:rFonts w:ascii="Calibri Light" w:eastAsia="Times New Roman" w:hAnsi="Calibri Light"/>
          <w:lang w:eastAsia="fr-FR"/>
        </w:rPr>
        <w:t>.</w:t>
      </w:r>
    </w:p>
    <w:p w:rsidR="0071041E" w:rsidRPr="008A1BB0" w:rsidRDefault="0071041E" w:rsidP="0071041E">
      <w:pPr>
        <w:pStyle w:val="ListParagraph"/>
        <w:tabs>
          <w:tab w:val="left" w:pos="426"/>
        </w:tabs>
        <w:spacing w:before="120" w:after="0" w:line="240" w:lineRule="auto"/>
        <w:ind w:left="0"/>
        <w:contextualSpacing w:val="0"/>
        <w:jc w:val="both"/>
        <w:rPr>
          <w:rFonts w:ascii="Calibri Light" w:eastAsia="Times New Roman" w:hAnsi="Calibri Light"/>
          <w:lang w:eastAsia="fr-FR"/>
        </w:rPr>
      </w:pPr>
      <w:r w:rsidRPr="008A1BB0">
        <w:rPr>
          <w:rFonts w:ascii="Calibri Light" w:eastAsia="Times New Roman" w:hAnsi="Calibri Light"/>
          <w:b/>
          <w:lang w:eastAsia="fr-FR"/>
        </w:rPr>
        <w:t>Les étudiants sont, sur les items tangents, un peu moins favorable que les jeunes salariés, mais sans différence massive</w:t>
      </w:r>
      <w:r w:rsidRPr="008A1BB0">
        <w:rPr>
          <w:rFonts w:ascii="Calibri Light" w:eastAsia="Times New Roman" w:hAnsi="Calibri Light"/>
          <w:lang w:eastAsia="fr-FR"/>
        </w:rPr>
        <w:t>.</w:t>
      </w:r>
    </w:p>
    <w:p w:rsidR="0071041E" w:rsidRPr="008A1BB0" w:rsidRDefault="0071041E" w:rsidP="0071041E">
      <w:pPr>
        <w:pStyle w:val="ListParagraph"/>
        <w:tabs>
          <w:tab w:val="left" w:pos="426"/>
        </w:tabs>
        <w:spacing w:before="120" w:after="0" w:line="240" w:lineRule="auto"/>
        <w:ind w:left="0"/>
        <w:contextualSpacing w:val="0"/>
        <w:jc w:val="both"/>
        <w:rPr>
          <w:rFonts w:ascii="Calibri Light" w:eastAsia="Times New Roman" w:hAnsi="Calibri Light"/>
          <w:lang w:eastAsia="fr-FR"/>
        </w:rPr>
      </w:pPr>
      <w:r w:rsidRPr="008A1BB0">
        <w:rPr>
          <w:rFonts w:ascii="Calibri Light" w:eastAsia="Times New Roman" w:hAnsi="Calibri Light"/>
          <w:lang w:eastAsia="fr-FR"/>
        </w:rPr>
        <w:t>Les jeunes chômeurs décrochent davantage, sans doute pour des raisons de défiance politique plus large.</w:t>
      </w:r>
    </w:p>
    <w:p w:rsidR="0071041E" w:rsidRPr="008A1BB0" w:rsidRDefault="00F93ECB" w:rsidP="0071041E">
      <w:pPr>
        <w:pStyle w:val="ListParagraph"/>
        <w:tabs>
          <w:tab w:val="left" w:pos="426"/>
        </w:tabs>
        <w:spacing w:before="120" w:after="0" w:line="240" w:lineRule="auto"/>
        <w:ind w:left="0"/>
        <w:contextualSpacing w:val="0"/>
        <w:jc w:val="both"/>
        <w:rPr>
          <w:rFonts w:ascii="Calibri Light" w:eastAsia="Times New Roman" w:hAnsi="Calibri Light"/>
          <w:lang w:eastAsia="fr-FR"/>
        </w:rPr>
      </w:pPr>
      <w:r w:rsidRPr="008A1BB0">
        <w:rPr>
          <w:rFonts w:ascii="Calibri Light" w:eastAsia="Times New Roman" w:hAnsi="Calibri Light"/>
          <w:lang w:eastAsia="fr-FR"/>
        </w:rPr>
        <w:t xml:space="preserve">En revanche </w:t>
      </w:r>
      <w:r w:rsidR="0071041E" w:rsidRPr="008A1BB0">
        <w:rPr>
          <w:rFonts w:ascii="Calibri Light" w:eastAsia="Times New Roman" w:hAnsi="Calibri Light"/>
          <w:b/>
          <w:lang w:eastAsia="fr-FR"/>
        </w:rPr>
        <w:t xml:space="preserve">les jeunes CSP+ </w:t>
      </w:r>
      <w:r w:rsidR="0071041E" w:rsidRPr="008A1BB0">
        <w:rPr>
          <w:rFonts w:ascii="Calibri Light" w:eastAsia="Times New Roman" w:hAnsi="Calibri Light"/>
          <w:lang w:eastAsia="fr-FR"/>
        </w:rPr>
        <w:t xml:space="preserve">(classes moyennes supérieures / aisées) </w:t>
      </w:r>
      <w:r w:rsidR="0071041E" w:rsidRPr="008A1BB0">
        <w:rPr>
          <w:rFonts w:ascii="Calibri Light" w:eastAsia="Times New Roman" w:hAnsi="Calibri Light"/>
          <w:b/>
          <w:lang w:eastAsia="fr-FR"/>
        </w:rPr>
        <w:t>sont systématiquement plus favorables</w:t>
      </w:r>
      <w:r w:rsidR="0071041E" w:rsidRPr="008A1BB0">
        <w:rPr>
          <w:rFonts w:ascii="Calibri Light" w:eastAsia="Times New Roman" w:hAnsi="Calibri Light"/>
          <w:lang w:eastAsia="fr-FR"/>
        </w:rPr>
        <w:t>, parfois largement (5 à 10 points).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6501"/>
        <w:gridCol w:w="849"/>
        <w:gridCol w:w="832"/>
        <w:gridCol w:w="709"/>
        <w:gridCol w:w="871"/>
      </w:tblGrid>
      <w:tr w:rsidR="00F93ECB" w:rsidRPr="008A1BB0" w:rsidTr="00F93ECB">
        <w:trPr>
          <w:trHeight w:val="403"/>
          <w:jc w:val="center"/>
        </w:trPr>
        <w:tc>
          <w:tcPr>
            <w:tcW w:w="3330" w:type="pct"/>
            <w:vMerge w:val="restart"/>
            <w:tcBorders>
              <w:top w:val="nil"/>
              <w:left w:val="nil"/>
            </w:tcBorders>
          </w:tcPr>
          <w:p w:rsidR="0071041E" w:rsidRPr="008A1BB0" w:rsidRDefault="0071041E" w:rsidP="00FA4971">
            <w:pPr>
              <w:rPr>
                <w:i/>
                <w:iCs/>
                <w:szCs w:val="24"/>
              </w:rPr>
            </w:pPr>
          </w:p>
          <w:p w:rsidR="0071041E" w:rsidRPr="008A1BB0" w:rsidRDefault="0071041E" w:rsidP="00FA4971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  <w:rPr>
                <w:i/>
                <w:iCs/>
                <w:szCs w:val="24"/>
              </w:rPr>
            </w:pPr>
          </w:p>
        </w:tc>
        <w:tc>
          <w:tcPr>
            <w:tcW w:w="435" w:type="pct"/>
            <w:vMerge w:val="restart"/>
            <w:vAlign w:val="center"/>
          </w:tcPr>
          <w:p w:rsidR="0071041E" w:rsidRPr="008A1BB0" w:rsidRDefault="0071041E" w:rsidP="00FA4971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8A1BB0">
              <w:rPr>
                <w:b/>
                <w:sz w:val="18"/>
                <w:szCs w:val="18"/>
              </w:rPr>
              <w:t>Ensemble</w:t>
            </w:r>
          </w:p>
          <w:p w:rsidR="0071041E" w:rsidRPr="008A1BB0" w:rsidRDefault="0071041E" w:rsidP="00FA4971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8A1BB0">
              <w:rPr>
                <w:b/>
                <w:sz w:val="18"/>
                <w:szCs w:val="18"/>
              </w:rPr>
              <w:t>jeunes</w:t>
            </w:r>
          </w:p>
        </w:tc>
        <w:tc>
          <w:tcPr>
            <w:tcW w:w="1235" w:type="pct"/>
            <w:gridSpan w:val="3"/>
          </w:tcPr>
          <w:p w:rsidR="0071041E" w:rsidRPr="008A1BB0" w:rsidRDefault="0071041E" w:rsidP="00FA4971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b/>
                <w:i/>
                <w:sz w:val="18"/>
                <w:szCs w:val="18"/>
              </w:rPr>
            </w:pPr>
            <w:r w:rsidRPr="008A1BB0">
              <w:rPr>
                <w:b/>
                <w:i/>
                <w:sz w:val="18"/>
                <w:szCs w:val="18"/>
              </w:rPr>
              <w:t>Statut</w:t>
            </w:r>
          </w:p>
        </w:tc>
      </w:tr>
      <w:tr w:rsidR="00F93ECB" w:rsidRPr="008A1BB0" w:rsidTr="00F93ECB">
        <w:trPr>
          <w:trHeight w:val="403"/>
          <w:jc w:val="center"/>
        </w:trPr>
        <w:tc>
          <w:tcPr>
            <w:tcW w:w="3330" w:type="pct"/>
            <w:vMerge/>
            <w:tcBorders>
              <w:left w:val="nil"/>
              <w:bottom w:val="single" w:sz="4" w:space="0" w:color="auto"/>
            </w:tcBorders>
            <w:hideMark/>
          </w:tcPr>
          <w:p w:rsidR="0071041E" w:rsidRPr="008A1BB0" w:rsidRDefault="0071041E" w:rsidP="00FA4971">
            <w:pPr>
              <w:tabs>
                <w:tab w:val="left" w:pos="222"/>
                <w:tab w:val="left" w:pos="647"/>
                <w:tab w:val="right" w:leader="dot" w:pos="7026"/>
              </w:tabs>
              <w:spacing w:before="60" w:after="60"/>
            </w:pPr>
          </w:p>
        </w:tc>
        <w:tc>
          <w:tcPr>
            <w:tcW w:w="435" w:type="pct"/>
            <w:vMerge/>
            <w:tcBorders>
              <w:bottom w:val="single" w:sz="4" w:space="0" w:color="auto"/>
            </w:tcBorders>
            <w:hideMark/>
          </w:tcPr>
          <w:p w:rsidR="0071041E" w:rsidRPr="008A1BB0" w:rsidRDefault="0071041E" w:rsidP="00FA4971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6" w:type="pct"/>
            <w:tcBorders>
              <w:bottom w:val="single" w:sz="4" w:space="0" w:color="auto"/>
            </w:tcBorders>
            <w:vAlign w:val="center"/>
          </w:tcPr>
          <w:p w:rsidR="0071041E" w:rsidRPr="008A1BB0" w:rsidRDefault="0071041E" w:rsidP="00FA4971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b/>
                <w:i/>
                <w:sz w:val="18"/>
                <w:szCs w:val="18"/>
              </w:rPr>
            </w:pPr>
            <w:r w:rsidRPr="008A1BB0">
              <w:rPr>
                <w:b/>
                <w:i/>
                <w:sz w:val="18"/>
                <w:szCs w:val="18"/>
              </w:rPr>
              <w:t>Etudiants</w:t>
            </w:r>
          </w:p>
        </w:tc>
        <w:tc>
          <w:tcPr>
            <w:tcW w:w="363" w:type="pct"/>
            <w:tcBorders>
              <w:bottom w:val="single" w:sz="4" w:space="0" w:color="auto"/>
            </w:tcBorders>
            <w:vAlign w:val="center"/>
            <w:hideMark/>
          </w:tcPr>
          <w:p w:rsidR="0071041E" w:rsidRPr="008A1BB0" w:rsidRDefault="0071041E" w:rsidP="00FA4971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b/>
                <w:i/>
                <w:sz w:val="18"/>
                <w:szCs w:val="18"/>
              </w:rPr>
            </w:pPr>
            <w:r w:rsidRPr="008A1BB0">
              <w:rPr>
                <w:b/>
                <w:i/>
                <w:sz w:val="18"/>
                <w:szCs w:val="18"/>
              </w:rPr>
              <w:t>Salariés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vAlign w:val="center"/>
            <w:hideMark/>
          </w:tcPr>
          <w:p w:rsidR="0071041E" w:rsidRPr="008A1BB0" w:rsidRDefault="0071041E" w:rsidP="00FA4971">
            <w:pPr>
              <w:tabs>
                <w:tab w:val="decimal" w:pos="1074"/>
                <w:tab w:val="right" w:pos="7026"/>
              </w:tabs>
              <w:spacing w:before="60" w:after="60"/>
              <w:jc w:val="center"/>
              <w:rPr>
                <w:b/>
                <w:i/>
                <w:sz w:val="18"/>
                <w:szCs w:val="18"/>
              </w:rPr>
            </w:pPr>
            <w:r w:rsidRPr="008A1BB0">
              <w:rPr>
                <w:b/>
                <w:i/>
                <w:sz w:val="18"/>
                <w:szCs w:val="18"/>
              </w:rPr>
              <w:t>Chômeurs</w:t>
            </w:r>
          </w:p>
        </w:tc>
      </w:tr>
      <w:tr w:rsidR="00F93ECB" w:rsidRPr="008A1BB0" w:rsidTr="008A1BB0">
        <w:trPr>
          <w:trHeight w:val="403"/>
          <w:jc w:val="center"/>
        </w:trPr>
        <w:tc>
          <w:tcPr>
            <w:tcW w:w="3330" w:type="pct"/>
            <w:tcBorders>
              <w:bottom w:val="dotted" w:sz="4" w:space="0" w:color="auto"/>
            </w:tcBorders>
            <w:shd w:val="clear" w:color="auto" w:fill="C5E0B3"/>
            <w:hideMark/>
          </w:tcPr>
          <w:p w:rsidR="0071041E" w:rsidRPr="008A1BB0" w:rsidRDefault="0071041E" w:rsidP="0071041E">
            <w:pPr>
              <w:numPr>
                <w:ilvl w:val="0"/>
                <w:numId w:val="11"/>
              </w:numPr>
              <w:tabs>
                <w:tab w:val="left" w:pos="222"/>
                <w:tab w:val="right" w:leader="dot" w:pos="4979"/>
              </w:tabs>
              <w:spacing w:before="60" w:after="60" w:line="240" w:lineRule="auto"/>
              <w:rPr>
                <w:i/>
                <w:sz w:val="20"/>
              </w:rPr>
            </w:pPr>
            <w:r w:rsidRPr="008A1BB0">
              <w:rPr>
                <w:b/>
                <w:i/>
                <w:sz w:val="20"/>
              </w:rPr>
              <w:t>La création d’un Compte Personnel d’Activité</w:t>
            </w:r>
            <w:r w:rsidRPr="008A1BB0">
              <w:rPr>
                <w:i/>
                <w:sz w:val="20"/>
              </w:rPr>
              <w:t xml:space="preserve"> (intégrant le compte personnel de formation et le compte pénibilité) qui permettra à tous les salariés de conserver leurs droits acquis même en cas de changement d’employeur</w:t>
            </w:r>
          </w:p>
        </w:tc>
        <w:tc>
          <w:tcPr>
            <w:tcW w:w="435" w:type="pct"/>
            <w:tcBorders>
              <w:bottom w:val="dotted" w:sz="4" w:space="0" w:color="auto"/>
            </w:tcBorders>
            <w:vAlign w:val="center"/>
            <w:hideMark/>
          </w:tcPr>
          <w:p w:rsidR="0071041E" w:rsidRPr="008A1BB0" w:rsidRDefault="0071041E" w:rsidP="00FA4971">
            <w:pPr>
              <w:spacing w:before="60" w:after="60"/>
              <w:jc w:val="center"/>
              <w:rPr>
                <w:color w:val="538135"/>
              </w:rPr>
            </w:pPr>
            <w:r w:rsidRPr="008A1BB0">
              <w:rPr>
                <w:b/>
                <w:bCs/>
                <w:color w:val="538135"/>
              </w:rPr>
              <w:t>85</w:t>
            </w:r>
          </w:p>
        </w:tc>
        <w:tc>
          <w:tcPr>
            <w:tcW w:w="426" w:type="pct"/>
            <w:tcBorders>
              <w:bottom w:val="dotted" w:sz="4" w:space="0" w:color="auto"/>
            </w:tcBorders>
            <w:vAlign w:val="center"/>
          </w:tcPr>
          <w:p w:rsidR="0071041E" w:rsidRPr="008A1BB0" w:rsidRDefault="0071041E" w:rsidP="00FA4971">
            <w:pPr>
              <w:spacing w:before="60" w:after="60"/>
              <w:jc w:val="center"/>
              <w:rPr>
                <w:i/>
              </w:rPr>
            </w:pPr>
            <w:r w:rsidRPr="008A1BB0">
              <w:rPr>
                <w:i/>
              </w:rPr>
              <w:t>89</w:t>
            </w:r>
          </w:p>
        </w:tc>
        <w:tc>
          <w:tcPr>
            <w:tcW w:w="363" w:type="pct"/>
            <w:tcBorders>
              <w:bottom w:val="dotted" w:sz="4" w:space="0" w:color="auto"/>
            </w:tcBorders>
            <w:vAlign w:val="center"/>
          </w:tcPr>
          <w:p w:rsidR="0071041E" w:rsidRPr="008A1BB0" w:rsidRDefault="0071041E" w:rsidP="00FA4971">
            <w:pPr>
              <w:spacing w:before="60" w:after="60"/>
              <w:jc w:val="center"/>
              <w:rPr>
                <w:i/>
              </w:rPr>
            </w:pPr>
            <w:r w:rsidRPr="008A1BB0">
              <w:rPr>
                <w:i/>
              </w:rPr>
              <w:t>84</w:t>
            </w:r>
          </w:p>
        </w:tc>
        <w:tc>
          <w:tcPr>
            <w:tcW w:w="446" w:type="pct"/>
            <w:tcBorders>
              <w:bottom w:val="dotted" w:sz="4" w:space="0" w:color="auto"/>
            </w:tcBorders>
            <w:vAlign w:val="center"/>
          </w:tcPr>
          <w:p w:rsidR="0071041E" w:rsidRPr="008A1BB0" w:rsidRDefault="0071041E" w:rsidP="00FA4971">
            <w:pPr>
              <w:spacing w:before="60" w:after="60"/>
              <w:jc w:val="center"/>
              <w:rPr>
                <w:i/>
              </w:rPr>
            </w:pPr>
            <w:r w:rsidRPr="008A1BB0">
              <w:rPr>
                <w:i/>
              </w:rPr>
              <w:t>77</w:t>
            </w:r>
          </w:p>
        </w:tc>
      </w:tr>
      <w:tr w:rsidR="00F93ECB" w:rsidRPr="008A1BB0" w:rsidTr="008A1BB0">
        <w:trPr>
          <w:trHeight w:val="403"/>
          <w:jc w:val="center"/>
        </w:trPr>
        <w:tc>
          <w:tcPr>
            <w:tcW w:w="3330" w:type="pct"/>
            <w:tcBorders>
              <w:top w:val="dotted" w:sz="4" w:space="0" w:color="auto"/>
              <w:bottom w:val="single" w:sz="4" w:space="0" w:color="auto"/>
            </w:tcBorders>
            <w:shd w:val="clear" w:color="auto" w:fill="C5E0B3"/>
            <w:hideMark/>
          </w:tcPr>
          <w:p w:rsidR="0071041E" w:rsidRPr="008A1BB0" w:rsidRDefault="0071041E" w:rsidP="0071041E">
            <w:pPr>
              <w:numPr>
                <w:ilvl w:val="0"/>
                <w:numId w:val="11"/>
              </w:numPr>
              <w:tabs>
                <w:tab w:val="left" w:pos="222"/>
                <w:tab w:val="right" w:leader="dot" w:pos="4979"/>
              </w:tabs>
              <w:spacing w:before="60" w:after="60" w:line="240" w:lineRule="auto"/>
              <w:rPr>
                <w:i/>
                <w:sz w:val="20"/>
              </w:rPr>
            </w:pPr>
            <w:r w:rsidRPr="008A1BB0">
              <w:rPr>
                <w:i/>
                <w:sz w:val="20"/>
              </w:rPr>
              <w:t>La possibilité pour l’employeur d’organiser un</w:t>
            </w:r>
            <w:r w:rsidRPr="008A1BB0">
              <w:rPr>
                <w:b/>
                <w:i/>
                <w:sz w:val="20"/>
              </w:rPr>
              <w:t xml:space="preserve"> référendum d’entreprise</w:t>
            </w:r>
            <w:r w:rsidRPr="008A1BB0">
              <w:rPr>
                <w:i/>
                <w:sz w:val="20"/>
              </w:rPr>
              <w:t xml:space="preserve"> lorsqu’un accord est approuvé par des syndicats représentant au moins 30% des salariés (ce qui supprime le droit d’opposition à un accord actuellement accordé aux syndicats qui représentent 50% des salariés) </w:t>
            </w:r>
          </w:p>
        </w:tc>
        <w:tc>
          <w:tcPr>
            <w:tcW w:w="435" w:type="pct"/>
            <w:tcBorders>
              <w:top w:val="dotted" w:sz="4" w:space="0" w:color="auto"/>
              <w:bottom w:val="single" w:sz="4" w:space="0" w:color="auto"/>
            </w:tcBorders>
            <w:vAlign w:val="center"/>
            <w:hideMark/>
          </w:tcPr>
          <w:p w:rsidR="0071041E" w:rsidRPr="008A1BB0" w:rsidRDefault="0071041E" w:rsidP="00FA4971">
            <w:pPr>
              <w:spacing w:before="60" w:after="60"/>
              <w:jc w:val="center"/>
              <w:rPr>
                <w:color w:val="538135"/>
              </w:rPr>
            </w:pPr>
            <w:r w:rsidRPr="008A1BB0">
              <w:rPr>
                <w:b/>
                <w:bCs/>
                <w:color w:val="538135"/>
              </w:rPr>
              <w:t>53</w:t>
            </w:r>
          </w:p>
        </w:tc>
        <w:tc>
          <w:tcPr>
            <w:tcW w:w="42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041E" w:rsidRPr="008A1BB0" w:rsidRDefault="0071041E" w:rsidP="00FA4971">
            <w:pPr>
              <w:spacing w:before="60" w:after="60"/>
              <w:jc w:val="center"/>
              <w:rPr>
                <w:i/>
              </w:rPr>
            </w:pPr>
            <w:r w:rsidRPr="008A1BB0">
              <w:rPr>
                <w:i/>
              </w:rPr>
              <w:t>58</w:t>
            </w:r>
          </w:p>
        </w:tc>
        <w:tc>
          <w:tcPr>
            <w:tcW w:w="36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041E" w:rsidRPr="008A1BB0" w:rsidRDefault="0071041E" w:rsidP="00FA4971">
            <w:pPr>
              <w:spacing w:before="60" w:after="60"/>
              <w:jc w:val="center"/>
              <w:rPr>
                <w:i/>
              </w:rPr>
            </w:pPr>
            <w:r w:rsidRPr="008A1BB0">
              <w:rPr>
                <w:i/>
              </w:rPr>
              <w:t>50</w:t>
            </w:r>
          </w:p>
        </w:tc>
        <w:tc>
          <w:tcPr>
            <w:tcW w:w="44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041E" w:rsidRPr="008A1BB0" w:rsidRDefault="0071041E" w:rsidP="00FA4971">
            <w:pPr>
              <w:spacing w:before="60" w:after="60"/>
              <w:jc w:val="center"/>
              <w:rPr>
                <w:i/>
              </w:rPr>
            </w:pPr>
            <w:r w:rsidRPr="008A1BB0">
              <w:rPr>
                <w:i/>
              </w:rPr>
              <w:t>44</w:t>
            </w:r>
          </w:p>
        </w:tc>
      </w:tr>
      <w:tr w:rsidR="00F93ECB" w:rsidRPr="008A1BB0" w:rsidTr="008A1BB0">
        <w:trPr>
          <w:trHeight w:val="403"/>
          <w:jc w:val="center"/>
        </w:trPr>
        <w:tc>
          <w:tcPr>
            <w:tcW w:w="3330" w:type="pct"/>
            <w:tcBorders>
              <w:bottom w:val="dotted" w:sz="4" w:space="0" w:color="auto"/>
            </w:tcBorders>
            <w:shd w:val="clear" w:color="auto" w:fill="F7CAAC"/>
            <w:hideMark/>
          </w:tcPr>
          <w:p w:rsidR="0071041E" w:rsidRPr="008A1BB0" w:rsidRDefault="0071041E" w:rsidP="0071041E">
            <w:pPr>
              <w:numPr>
                <w:ilvl w:val="0"/>
                <w:numId w:val="11"/>
              </w:numPr>
              <w:tabs>
                <w:tab w:val="clear" w:pos="360"/>
                <w:tab w:val="left" w:pos="222"/>
                <w:tab w:val="right" w:leader="dot" w:pos="4979"/>
              </w:tabs>
              <w:spacing w:before="60" w:after="60" w:line="240" w:lineRule="auto"/>
              <w:rPr>
                <w:i/>
                <w:sz w:val="20"/>
              </w:rPr>
            </w:pPr>
            <w:r w:rsidRPr="008A1BB0">
              <w:rPr>
                <w:i/>
                <w:sz w:val="20"/>
              </w:rPr>
              <w:t xml:space="preserve">La possibilité que le </w:t>
            </w:r>
            <w:r w:rsidRPr="008A1BB0">
              <w:rPr>
                <w:b/>
                <w:i/>
                <w:sz w:val="20"/>
              </w:rPr>
              <w:t>passage de 10 à 12 heures de travail quotidien</w:t>
            </w:r>
            <w:r w:rsidRPr="008A1BB0">
              <w:rPr>
                <w:i/>
                <w:sz w:val="20"/>
              </w:rPr>
              <w:t xml:space="preserve"> soit autorisé par un simple accord d’entreprise </w:t>
            </w:r>
          </w:p>
        </w:tc>
        <w:tc>
          <w:tcPr>
            <w:tcW w:w="435" w:type="pct"/>
            <w:tcBorders>
              <w:bottom w:val="dotted" w:sz="4" w:space="0" w:color="auto"/>
            </w:tcBorders>
            <w:vAlign w:val="center"/>
            <w:hideMark/>
          </w:tcPr>
          <w:p w:rsidR="0071041E" w:rsidRPr="008A1BB0" w:rsidRDefault="0071041E" w:rsidP="00FA4971">
            <w:pPr>
              <w:spacing w:before="60" w:after="60"/>
              <w:jc w:val="center"/>
              <w:rPr>
                <w:color w:val="C45911"/>
              </w:rPr>
            </w:pPr>
            <w:r w:rsidRPr="008A1BB0">
              <w:rPr>
                <w:b/>
                <w:bCs/>
                <w:color w:val="C45911"/>
              </w:rPr>
              <w:t>44</w:t>
            </w:r>
          </w:p>
        </w:tc>
        <w:tc>
          <w:tcPr>
            <w:tcW w:w="426" w:type="pct"/>
            <w:tcBorders>
              <w:bottom w:val="dotted" w:sz="4" w:space="0" w:color="auto"/>
            </w:tcBorders>
            <w:vAlign w:val="center"/>
          </w:tcPr>
          <w:p w:rsidR="0071041E" w:rsidRPr="008A1BB0" w:rsidRDefault="0071041E" w:rsidP="00FA4971">
            <w:pPr>
              <w:spacing w:before="60" w:after="60"/>
              <w:jc w:val="center"/>
              <w:rPr>
                <w:i/>
              </w:rPr>
            </w:pPr>
            <w:r w:rsidRPr="008A1BB0">
              <w:rPr>
                <w:i/>
              </w:rPr>
              <w:t>43</w:t>
            </w:r>
          </w:p>
        </w:tc>
        <w:tc>
          <w:tcPr>
            <w:tcW w:w="363" w:type="pct"/>
            <w:tcBorders>
              <w:bottom w:val="dotted" w:sz="4" w:space="0" w:color="auto"/>
            </w:tcBorders>
            <w:vAlign w:val="center"/>
          </w:tcPr>
          <w:p w:rsidR="0071041E" w:rsidRPr="008A1BB0" w:rsidRDefault="0071041E" w:rsidP="00FA4971">
            <w:pPr>
              <w:spacing w:before="60" w:after="60"/>
              <w:jc w:val="center"/>
              <w:rPr>
                <w:i/>
              </w:rPr>
            </w:pPr>
            <w:r w:rsidRPr="008A1BB0">
              <w:rPr>
                <w:i/>
              </w:rPr>
              <w:t>46</w:t>
            </w:r>
          </w:p>
        </w:tc>
        <w:tc>
          <w:tcPr>
            <w:tcW w:w="446" w:type="pct"/>
            <w:tcBorders>
              <w:bottom w:val="dotted" w:sz="4" w:space="0" w:color="auto"/>
            </w:tcBorders>
            <w:vAlign w:val="center"/>
          </w:tcPr>
          <w:p w:rsidR="0071041E" w:rsidRPr="008A1BB0" w:rsidRDefault="0071041E" w:rsidP="00FA4971">
            <w:pPr>
              <w:spacing w:before="60" w:after="60"/>
              <w:jc w:val="center"/>
              <w:rPr>
                <w:i/>
              </w:rPr>
            </w:pPr>
            <w:r w:rsidRPr="008A1BB0">
              <w:rPr>
                <w:i/>
              </w:rPr>
              <w:t>39</w:t>
            </w:r>
          </w:p>
        </w:tc>
      </w:tr>
      <w:tr w:rsidR="00F93ECB" w:rsidRPr="008A1BB0" w:rsidTr="008A1BB0">
        <w:trPr>
          <w:trHeight w:val="403"/>
          <w:jc w:val="center"/>
        </w:trPr>
        <w:tc>
          <w:tcPr>
            <w:tcW w:w="3330" w:type="pct"/>
            <w:tcBorders>
              <w:top w:val="dotted" w:sz="4" w:space="0" w:color="auto"/>
              <w:bottom w:val="dotted" w:sz="4" w:space="0" w:color="auto"/>
            </w:tcBorders>
            <w:shd w:val="clear" w:color="auto" w:fill="F7CAAC"/>
            <w:hideMark/>
          </w:tcPr>
          <w:p w:rsidR="0071041E" w:rsidRPr="008A1BB0" w:rsidRDefault="0071041E" w:rsidP="0071041E">
            <w:pPr>
              <w:numPr>
                <w:ilvl w:val="0"/>
                <w:numId w:val="11"/>
              </w:numPr>
              <w:tabs>
                <w:tab w:val="clear" w:pos="360"/>
                <w:tab w:val="left" w:pos="222"/>
                <w:tab w:val="right" w:leader="dot" w:pos="4979"/>
              </w:tabs>
              <w:spacing w:before="60" w:after="60" w:line="240" w:lineRule="auto"/>
              <w:rPr>
                <w:i/>
                <w:sz w:val="20"/>
              </w:rPr>
            </w:pPr>
            <w:r w:rsidRPr="008A1BB0">
              <w:rPr>
                <w:b/>
                <w:i/>
                <w:sz w:val="20"/>
              </w:rPr>
              <w:t>Le plafonnement et la mise en place d’un barème pour les indemnités</w:t>
            </w:r>
            <w:r w:rsidRPr="008A1BB0">
              <w:rPr>
                <w:i/>
                <w:sz w:val="20"/>
              </w:rPr>
              <w:t xml:space="preserve"> accordées par les prud’hommes aux salariés du privé victimes de licenciement abusifs </w:t>
            </w:r>
          </w:p>
        </w:tc>
        <w:tc>
          <w:tcPr>
            <w:tcW w:w="435" w:type="pct"/>
            <w:tcBorders>
              <w:top w:val="dotted" w:sz="4" w:space="0" w:color="auto"/>
              <w:bottom w:val="dotted" w:sz="4" w:space="0" w:color="auto"/>
            </w:tcBorders>
            <w:vAlign w:val="center"/>
            <w:hideMark/>
          </w:tcPr>
          <w:p w:rsidR="0071041E" w:rsidRPr="008A1BB0" w:rsidRDefault="0071041E" w:rsidP="00FA4971">
            <w:pPr>
              <w:spacing w:before="60" w:after="60"/>
              <w:jc w:val="center"/>
              <w:rPr>
                <w:color w:val="C45911"/>
              </w:rPr>
            </w:pPr>
            <w:r w:rsidRPr="008A1BB0">
              <w:rPr>
                <w:b/>
                <w:bCs/>
                <w:color w:val="C45911"/>
              </w:rPr>
              <w:t>44</w:t>
            </w:r>
          </w:p>
        </w:tc>
        <w:tc>
          <w:tcPr>
            <w:tcW w:w="42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041E" w:rsidRPr="008A1BB0" w:rsidRDefault="0071041E" w:rsidP="00FA4971">
            <w:pPr>
              <w:spacing w:before="60" w:after="60"/>
              <w:jc w:val="center"/>
              <w:rPr>
                <w:i/>
              </w:rPr>
            </w:pPr>
            <w:r w:rsidRPr="008A1BB0">
              <w:rPr>
                <w:i/>
              </w:rPr>
              <w:t>42</w:t>
            </w:r>
          </w:p>
        </w:tc>
        <w:tc>
          <w:tcPr>
            <w:tcW w:w="36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041E" w:rsidRPr="008A1BB0" w:rsidRDefault="0071041E" w:rsidP="00FA4971">
            <w:pPr>
              <w:spacing w:before="60" w:after="60"/>
              <w:jc w:val="center"/>
              <w:rPr>
                <w:i/>
              </w:rPr>
            </w:pPr>
            <w:r w:rsidRPr="008A1BB0">
              <w:rPr>
                <w:i/>
              </w:rPr>
              <w:t>44</w:t>
            </w:r>
          </w:p>
        </w:tc>
        <w:tc>
          <w:tcPr>
            <w:tcW w:w="44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1041E" w:rsidRPr="008A1BB0" w:rsidRDefault="0071041E" w:rsidP="00FA4971">
            <w:pPr>
              <w:spacing w:before="60" w:after="60"/>
              <w:jc w:val="center"/>
              <w:rPr>
                <w:i/>
              </w:rPr>
            </w:pPr>
            <w:r w:rsidRPr="008A1BB0">
              <w:rPr>
                <w:i/>
              </w:rPr>
              <w:t>42</w:t>
            </w:r>
          </w:p>
        </w:tc>
      </w:tr>
      <w:tr w:rsidR="00F93ECB" w:rsidRPr="008A1BB0" w:rsidTr="008A1BB0">
        <w:trPr>
          <w:trHeight w:val="403"/>
          <w:jc w:val="center"/>
        </w:trPr>
        <w:tc>
          <w:tcPr>
            <w:tcW w:w="3330" w:type="pct"/>
            <w:tcBorders>
              <w:top w:val="dotted" w:sz="4" w:space="0" w:color="auto"/>
              <w:bottom w:val="single" w:sz="4" w:space="0" w:color="auto"/>
            </w:tcBorders>
            <w:shd w:val="clear" w:color="auto" w:fill="F7CAAC"/>
            <w:hideMark/>
          </w:tcPr>
          <w:p w:rsidR="0071041E" w:rsidRPr="008A1BB0" w:rsidRDefault="0071041E" w:rsidP="0071041E">
            <w:pPr>
              <w:numPr>
                <w:ilvl w:val="0"/>
                <w:numId w:val="11"/>
              </w:numPr>
              <w:tabs>
                <w:tab w:val="clear" w:pos="360"/>
                <w:tab w:val="left" w:pos="222"/>
                <w:tab w:val="right" w:leader="dot" w:pos="4979"/>
              </w:tabs>
              <w:spacing w:before="60" w:after="60" w:line="240" w:lineRule="auto"/>
              <w:rPr>
                <w:i/>
                <w:sz w:val="20"/>
              </w:rPr>
            </w:pPr>
            <w:r w:rsidRPr="008A1BB0">
              <w:rPr>
                <w:i/>
                <w:sz w:val="20"/>
              </w:rPr>
              <w:t xml:space="preserve">La possibilité que les </w:t>
            </w:r>
            <w:r w:rsidRPr="008A1BB0">
              <w:rPr>
                <w:b/>
                <w:i/>
                <w:sz w:val="20"/>
              </w:rPr>
              <w:t>apprentis mineurs puissent travailler jusqu’à 10 heures par jour et 40 heures par semaine</w:t>
            </w:r>
            <w:r w:rsidRPr="008A1BB0">
              <w:rPr>
                <w:i/>
                <w:sz w:val="20"/>
              </w:rPr>
              <w:t xml:space="preserve"> </w:t>
            </w:r>
          </w:p>
        </w:tc>
        <w:tc>
          <w:tcPr>
            <w:tcW w:w="435" w:type="pct"/>
            <w:tcBorders>
              <w:top w:val="dotted" w:sz="4" w:space="0" w:color="auto"/>
              <w:bottom w:val="single" w:sz="4" w:space="0" w:color="auto"/>
            </w:tcBorders>
            <w:vAlign w:val="center"/>
            <w:hideMark/>
          </w:tcPr>
          <w:p w:rsidR="0071041E" w:rsidRPr="008A1BB0" w:rsidRDefault="0071041E" w:rsidP="00FA4971">
            <w:pPr>
              <w:spacing w:before="60" w:after="60"/>
              <w:jc w:val="center"/>
              <w:rPr>
                <w:color w:val="C45911"/>
              </w:rPr>
            </w:pPr>
            <w:r w:rsidRPr="008A1BB0">
              <w:rPr>
                <w:b/>
                <w:bCs/>
                <w:color w:val="C45911"/>
              </w:rPr>
              <w:t>40</w:t>
            </w:r>
          </w:p>
        </w:tc>
        <w:tc>
          <w:tcPr>
            <w:tcW w:w="42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041E" w:rsidRPr="008A1BB0" w:rsidRDefault="0071041E" w:rsidP="00FA4971">
            <w:pPr>
              <w:spacing w:before="60" w:after="60"/>
              <w:jc w:val="center"/>
              <w:rPr>
                <w:i/>
              </w:rPr>
            </w:pPr>
            <w:r w:rsidRPr="008A1BB0">
              <w:rPr>
                <w:i/>
              </w:rPr>
              <w:t>37</w:t>
            </w:r>
          </w:p>
        </w:tc>
        <w:tc>
          <w:tcPr>
            <w:tcW w:w="36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041E" w:rsidRPr="008A1BB0" w:rsidRDefault="0071041E" w:rsidP="00FA4971">
            <w:pPr>
              <w:spacing w:before="60" w:after="60"/>
              <w:jc w:val="center"/>
              <w:rPr>
                <w:i/>
              </w:rPr>
            </w:pPr>
            <w:r w:rsidRPr="008A1BB0">
              <w:rPr>
                <w:i/>
              </w:rPr>
              <w:t>42</w:t>
            </w:r>
          </w:p>
        </w:tc>
        <w:tc>
          <w:tcPr>
            <w:tcW w:w="44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1041E" w:rsidRPr="008A1BB0" w:rsidRDefault="0071041E" w:rsidP="00FA4971">
            <w:pPr>
              <w:spacing w:before="60" w:after="60"/>
              <w:jc w:val="center"/>
              <w:rPr>
                <w:i/>
              </w:rPr>
            </w:pPr>
            <w:r w:rsidRPr="008A1BB0">
              <w:rPr>
                <w:i/>
              </w:rPr>
              <w:t>35</w:t>
            </w:r>
          </w:p>
        </w:tc>
      </w:tr>
      <w:tr w:rsidR="00F93ECB" w:rsidRPr="008A1BB0" w:rsidTr="00F93ECB">
        <w:trPr>
          <w:trHeight w:val="403"/>
          <w:jc w:val="center"/>
        </w:trPr>
        <w:tc>
          <w:tcPr>
            <w:tcW w:w="3330" w:type="pct"/>
            <w:tcBorders>
              <w:bottom w:val="dotted" w:sz="4" w:space="0" w:color="auto"/>
            </w:tcBorders>
            <w:shd w:val="clear" w:color="auto" w:fill="FFA7A7"/>
            <w:hideMark/>
          </w:tcPr>
          <w:p w:rsidR="0071041E" w:rsidRPr="008A1BB0" w:rsidRDefault="0071041E" w:rsidP="0071041E">
            <w:pPr>
              <w:numPr>
                <w:ilvl w:val="0"/>
                <w:numId w:val="11"/>
              </w:numPr>
              <w:tabs>
                <w:tab w:val="left" w:pos="222"/>
                <w:tab w:val="right" w:leader="dot" w:pos="4979"/>
              </w:tabs>
              <w:spacing w:before="60" w:after="60" w:line="240" w:lineRule="auto"/>
              <w:rPr>
                <w:i/>
                <w:sz w:val="20"/>
              </w:rPr>
            </w:pPr>
            <w:r w:rsidRPr="008A1BB0">
              <w:rPr>
                <w:i/>
                <w:sz w:val="20"/>
              </w:rPr>
              <w:t xml:space="preserve">La possibilité accordée aux entreprises de recourir à des </w:t>
            </w:r>
            <w:r w:rsidRPr="008A1BB0">
              <w:rPr>
                <w:b/>
                <w:i/>
                <w:sz w:val="20"/>
              </w:rPr>
              <w:t>licenciements économiques en cas de baisse des commandes ou du chiffre d’affaires</w:t>
            </w:r>
            <w:r w:rsidRPr="008A1BB0">
              <w:rPr>
                <w:i/>
                <w:sz w:val="20"/>
              </w:rPr>
              <w:t xml:space="preserve"> pendant plusieurs trimestres consécutifs (ce qui revient à un </w:t>
            </w:r>
            <w:r w:rsidRPr="008A1BB0">
              <w:rPr>
                <w:b/>
                <w:i/>
                <w:sz w:val="20"/>
              </w:rPr>
              <w:t>assouplissement des conditions de licenciement économiques</w:t>
            </w:r>
            <w:r w:rsidRPr="008A1BB0">
              <w:rPr>
                <w:i/>
                <w:sz w:val="20"/>
              </w:rPr>
              <w:t xml:space="preserve"> qui aujourd’hui ne sont pas autorisés dans de telles circonstances)</w:t>
            </w:r>
          </w:p>
        </w:tc>
        <w:tc>
          <w:tcPr>
            <w:tcW w:w="435" w:type="pct"/>
            <w:tcBorders>
              <w:bottom w:val="dotted" w:sz="4" w:space="0" w:color="auto"/>
            </w:tcBorders>
            <w:vAlign w:val="center"/>
            <w:hideMark/>
          </w:tcPr>
          <w:p w:rsidR="0071041E" w:rsidRPr="008A1BB0" w:rsidRDefault="0071041E" w:rsidP="00FA4971">
            <w:pPr>
              <w:spacing w:before="60" w:after="60"/>
              <w:jc w:val="center"/>
              <w:rPr>
                <w:color w:val="C00000"/>
              </w:rPr>
            </w:pPr>
            <w:r w:rsidRPr="008A1BB0">
              <w:rPr>
                <w:b/>
                <w:bCs/>
                <w:color w:val="C00000"/>
              </w:rPr>
              <w:t>32</w:t>
            </w:r>
          </w:p>
        </w:tc>
        <w:tc>
          <w:tcPr>
            <w:tcW w:w="426" w:type="pct"/>
            <w:tcBorders>
              <w:bottom w:val="dotted" w:sz="4" w:space="0" w:color="auto"/>
            </w:tcBorders>
            <w:vAlign w:val="center"/>
          </w:tcPr>
          <w:p w:rsidR="0071041E" w:rsidRPr="008A1BB0" w:rsidRDefault="0071041E" w:rsidP="00FA4971">
            <w:pPr>
              <w:spacing w:before="60" w:after="60"/>
              <w:jc w:val="center"/>
              <w:rPr>
                <w:i/>
              </w:rPr>
            </w:pPr>
            <w:r w:rsidRPr="008A1BB0">
              <w:rPr>
                <w:i/>
              </w:rPr>
              <w:t>37</w:t>
            </w:r>
          </w:p>
        </w:tc>
        <w:tc>
          <w:tcPr>
            <w:tcW w:w="363" w:type="pct"/>
            <w:tcBorders>
              <w:bottom w:val="dotted" w:sz="4" w:space="0" w:color="auto"/>
            </w:tcBorders>
            <w:vAlign w:val="center"/>
          </w:tcPr>
          <w:p w:rsidR="0071041E" w:rsidRPr="008A1BB0" w:rsidRDefault="0071041E" w:rsidP="00FA4971">
            <w:pPr>
              <w:spacing w:before="60" w:after="60"/>
              <w:jc w:val="center"/>
              <w:rPr>
                <w:i/>
              </w:rPr>
            </w:pPr>
            <w:r w:rsidRPr="008A1BB0">
              <w:rPr>
                <w:i/>
              </w:rPr>
              <w:t>29</w:t>
            </w:r>
          </w:p>
        </w:tc>
        <w:tc>
          <w:tcPr>
            <w:tcW w:w="446" w:type="pct"/>
            <w:tcBorders>
              <w:bottom w:val="dotted" w:sz="4" w:space="0" w:color="auto"/>
            </w:tcBorders>
            <w:vAlign w:val="center"/>
          </w:tcPr>
          <w:p w:rsidR="0071041E" w:rsidRPr="008A1BB0" w:rsidRDefault="0071041E" w:rsidP="00FA4971">
            <w:pPr>
              <w:spacing w:before="60" w:after="60"/>
              <w:jc w:val="center"/>
              <w:rPr>
                <w:i/>
              </w:rPr>
            </w:pPr>
            <w:r w:rsidRPr="008A1BB0">
              <w:rPr>
                <w:i/>
              </w:rPr>
              <w:t>20</w:t>
            </w:r>
          </w:p>
        </w:tc>
      </w:tr>
      <w:tr w:rsidR="00F93ECB" w:rsidRPr="008A1BB0" w:rsidTr="00F93ECB">
        <w:trPr>
          <w:trHeight w:val="403"/>
          <w:jc w:val="center"/>
        </w:trPr>
        <w:tc>
          <w:tcPr>
            <w:tcW w:w="3330" w:type="pct"/>
            <w:tcBorders>
              <w:top w:val="dotted" w:sz="4" w:space="0" w:color="auto"/>
            </w:tcBorders>
            <w:shd w:val="clear" w:color="auto" w:fill="FFA7A7"/>
            <w:hideMark/>
          </w:tcPr>
          <w:p w:rsidR="0071041E" w:rsidRPr="008A1BB0" w:rsidRDefault="0071041E" w:rsidP="0071041E">
            <w:pPr>
              <w:numPr>
                <w:ilvl w:val="0"/>
                <w:numId w:val="11"/>
              </w:numPr>
              <w:tabs>
                <w:tab w:val="clear" w:pos="360"/>
                <w:tab w:val="left" w:pos="222"/>
                <w:tab w:val="right" w:leader="dot" w:pos="4979"/>
              </w:tabs>
              <w:spacing w:before="60" w:after="60" w:line="240" w:lineRule="auto"/>
              <w:rPr>
                <w:i/>
                <w:sz w:val="20"/>
              </w:rPr>
            </w:pPr>
            <w:r w:rsidRPr="008A1BB0">
              <w:rPr>
                <w:i/>
                <w:sz w:val="20"/>
              </w:rPr>
              <w:t xml:space="preserve">La possibilité pour une entreprise, via un accord d’entreprise, de </w:t>
            </w:r>
            <w:r w:rsidRPr="008A1BB0">
              <w:rPr>
                <w:b/>
                <w:i/>
                <w:sz w:val="20"/>
              </w:rPr>
              <w:t>baisser les salaires et de moduler le temps de travail</w:t>
            </w:r>
          </w:p>
        </w:tc>
        <w:tc>
          <w:tcPr>
            <w:tcW w:w="435" w:type="pct"/>
            <w:tcBorders>
              <w:top w:val="dotted" w:sz="4" w:space="0" w:color="auto"/>
            </w:tcBorders>
            <w:vAlign w:val="center"/>
            <w:hideMark/>
          </w:tcPr>
          <w:p w:rsidR="0071041E" w:rsidRPr="008A1BB0" w:rsidRDefault="0071041E" w:rsidP="00FA4971">
            <w:pPr>
              <w:spacing w:before="60" w:after="60"/>
              <w:jc w:val="center"/>
              <w:rPr>
                <w:color w:val="C00000"/>
              </w:rPr>
            </w:pPr>
            <w:r w:rsidRPr="008A1BB0">
              <w:rPr>
                <w:b/>
                <w:bCs/>
                <w:color w:val="C00000"/>
              </w:rPr>
              <w:t>24</w:t>
            </w:r>
          </w:p>
        </w:tc>
        <w:tc>
          <w:tcPr>
            <w:tcW w:w="426" w:type="pct"/>
            <w:tcBorders>
              <w:top w:val="dotted" w:sz="4" w:space="0" w:color="auto"/>
            </w:tcBorders>
            <w:vAlign w:val="center"/>
          </w:tcPr>
          <w:p w:rsidR="0071041E" w:rsidRPr="008A1BB0" w:rsidRDefault="0071041E" w:rsidP="00FA4971">
            <w:pPr>
              <w:spacing w:before="60" w:after="60"/>
              <w:jc w:val="center"/>
              <w:rPr>
                <w:i/>
              </w:rPr>
            </w:pPr>
            <w:r w:rsidRPr="008A1BB0">
              <w:rPr>
                <w:i/>
              </w:rPr>
              <w:t>28</w:t>
            </w:r>
          </w:p>
        </w:tc>
        <w:tc>
          <w:tcPr>
            <w:tcW w:w="363" w:type="pct"/>
            <w:tcBorders>
              <w:top w:val="dotted" w:sz="4" w:space="0" w:color="auto"/>
            </w:tcBorders>
            <w:vAlign w:val="center"/>
          </w:tcPr>
          <w:p w:rsidR="0071041E" w:rsidRPr="008A1BB0" w:rsidRDefault="0071041E" w:rsidP="00FA4971">
            <w:pPr>
              <w:spacing w:before="60" w:after="60"/>
              <w:jc w:val="center"/>
              <w:rPr>
                <w:i/>
              </w:rPr>
            </w:pPr>
            <w:r w:rsidRPr="008A1BB0">
              <w:rPr>
                <w:i/>
              </w:rPr>
              <w:t>23</w:t>
            </w:r>
          </w:p>
        </w:tc>
        <w:tc>
          <w:tcPr>
            <w:tcW w:w="446" w:type="pct"/>
            <w:tcBorders>
              <w:top w:val="dotted" w:sz="4" w:space="0" w:color="auto"/>
            </w:tcBorders>
            <w:vAlign w:val="center"/>
          </w:tcPr>
          <w:p w:rsidR="0071041E" w:rsidRPr="008A1BB0" w:rsidRDefault="0071041E" w:rsidP="00FA4971">
            <w:pPr>
              <w:spacing w:before="60" w:after="60"/>
              <w:jc w:val="center"/>
              <w:rPr>
                <w:i/>
              </w:rPr>
            </w:pPr>
            <w:r w:rsidRPr="008A1BB0">
              <w:rPr>
                <w:i/>
              </w:rPr>
              <w:t>14</w:t>
            </w:r>
          </w:p>
        </w:tc>
      </w:tr>
    </w:tbl>
    <w:p w:rsidR="00CD6870" w:rsidRPr="008A1BB0" w:rsidRDefault="00CD6870" w:rsidP="00A20A9F">
      <w:pPr>
        <w:tabs>
          <w:tab w:val="left" w:pos="7371"/>
        </w:tabs>
        <w:spacing w:before="240" w:after="0" w:line="264" w:lineRule="auto"/>
        <w:jc w:val="both"/>
        <w:rPr>
          <w:rFonts w:ascii="Calibri Light" w:hAnsi="Calibri Light"/>
          <w:sz w:val="23"/>
          <w:szCs w:val="23"/>
        </w:rPr>
      </w:pPr>
    </w:p>
    <w:p w:rsidR="00666A52" w:rsidRPr="008A1BB0" w:rsidRDefault="00666A52" w:rsidP="00A20A9F">
      <w:pPr>
        <w:tabs>
          <w:tab w:val="left" w:pos="7371"/>
        </w:tabs>
        <w:spacing w:before="240" w:after="0" w:line="264" w:lineRule="auto"/>
        <w:jc w:val="both"/>
        <w:rPr>
          <w:rFonts w:ascii="Calibri Light" w:hAnsi="Calibri Light"/>
          <w:i/>
          <w:sz w:val="21"/>
          <w:szCs w:val="21"/>
        </w:rPr>
      </w:pPr>
      <w:r w:rsidRPr="008A1BB0">
        <w:rPr>
          <w:rFonts w:ascii="Calibri Light" w:hAnsi="Calibri Light"/>
          <w:sz w:val="23"/>
          <w:szCs w:val="23"/>
        </w:rPr>
        <w:tab/>
        <w:t>Adrien ABECASSIS</w:t>
      </w:r>
    </w:p>
    <w:sectPr w:rsidR="00666A52" w:rsidRPr="008A1BB0" w:rsidSect="0071041E">
      <w:pgSz w:w="11906" w:h="16838" w:code="9"/>
      <w:pgMar w:top="680" w:right="1134" w:bottom="680" w:left="1134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A4971" w:rsidRDefault="00FA4971" w:rsidP="00254AF9">
      <w:pPr>
        <w:spacing w:after="0" w:line="240" w:lineRule="auto"/>
      </w:pPr>
      <w:r>
        <w:separator/>
      </w:r>
    </w:p>
  </w:endnote>
  <w:endnote w:type="continuationSeparator" w:id="0">
    <w:p w:rsidR="00FA4971" w:rsidRDefault="00FA4971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A4971" w:rsidRDefault="00FA4971" w:rsidP="00254AF9">
      <w:pPr>
        <w:spacing w:after="0" w:line="240" w:lineRule="auto"/>
      </w:pPr>
      <w:r>
        <w:separator/>
      </w:r>
    </w:p>
  </w:footnote>
  <w:footnote w:type="continuationSeparator" w:id="0">
    <w:p w:rsidR="00FA4971" w:rsidRDefault="00FA4971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6214"/>
    <w:multiLevelType w:val="hybridMultilevel"/>
    <w:tmpl w:val="AAF883F0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66AB8"/>
    <w:multiLevelType w:val="hybridMultilevel"/>
    <w:tmpl w:val="A0D45CC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1584D"/>
    <w:multiLevelType w:val="singleLevel"/>
    <w:tmpl w:val="FBAA2DBA"/>
    <w:lvl w:ilvl="0">
      <w:start w:val="1"/>
      <w:numFmt w:val="bullet"/>
      <w:lvlText w:val="•"/>
      <w:lvlJc w:val="left"/>
      <w:pPr>
        <w:tabs>
          <w:tab w:val="num" w:pos="360"/>
        </w:tabs>
        <w:ind w:left="170" w:hanging="170"/>
      </w:pPr>
      <w:rPr>
        <w:rFonts w:ascii="Calibri" w:hAnsi="Calibri" w:cs="Calibri" w:hint="default"/>
        <w:color w:val="auto"/>
      </w:rPr>
    </w:lvl>
  </w:abstractNum>
  <w:abstractNum w:abstractNumId="5" w15:restartNumberingAfterBreak="0">
    <w:nsid w:val="3B0334C3"/>
    <w:multiLevelType w:val="hybridMultilevel"/>
    <w:tmpl w:val="CF081D44"/>
    <w:lvl w:ilvl="0" w:tplc="1C10E6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 w15:restartNumberingAfterBreak="0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238097">
    <w:abstractNumId w:val="0"/>
  </w:num>
  <w:num w:numId="2" w16cid:durableId="338239503">
    <w:abstractNumId w:val="10"/>
  </w:num>
  <w:num w:numId="3" w16cid:durableId="420294952">
    <w:abstractNumId w:val="9"/>
  </w:num>
  <w:num w:numId="4" w16cid:durableId="349912007">
    <w:abstractNumId w:val="7"/>
  </w:num>
  <w:num w:numId="5" w16cid:durableId="25915581">
    <w:abstractNumId w:val="2"/>
  </w:num>
  <w:num w:numId="6" w16cid:durableId="1194223745">
    <w:abstractNumId w:val="3"/>
  </w:num>
  <w:num w:numId="7" w16cid:durableId="2002274898">
    <w:abstractNumId w:val="6"/>
  </w:num>
  <w:num w:numId="8" w16cid:durableId="1962607345">
    <w:abstractNumId w:val="8"/>
  </w:num>
  <w:num w:numId="9" w16cid:durableId="42100899">
    <w:abstractNumId w:val="11"/>
  </w:num>
  <w:num w:numId="10" w16cid:durableId="334305392">
    <w:abstractNumId w:val="1"/>
  </w:num>
  <w:num w:numId="11" w16cid:durableId="800198319">
    <w:abstractNumId w:val="4"/>
  </w:num>
  <w:num w:numId="12" w16cid:durableId="2136097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oNotTrackMoves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4356"/>
    <w:rsid w:val="000033CB"/>
    <w:rsid w:val="00024AE2"/>
    <w:rsid w:val="00035DCF"/>
    <w:rsid w:val="0004138C"/>
    <w:rsid w:val="000428D0"/>
    <w:rsid w:val="00052B88"/>
    <w:rsid w:val="00087290"/>
    <w:rsid w:val="000B764F"/>
    <w:rsid w:val="000C0627"/>
    <w:rsid w:val="000D797D"/>
    <w:rsid w:val="000E7D62"/>
    <w:rsid w:val="001070F0"/>
    <w:rsid w:val="00125F15"/>
    <w:rsid w:val="00170CDF"/>
    <w:rsid w:val="001C3AF7"/>
    <w:rsid w:val="001D62B4"/>
    <w:rsid w:val="001D71BF"/>
    <w:rsid w:val="001F00B4"/>
    <w:rsid w:val="0020392F"/>
    <w:rsid w:val="00211C9E"/>
    <w:rsid w:val="00227DB7"/>
    <w:rsid w:val="002405A9"/>
    <w:rsid w:val="00254AF9"/>
    <w:rsid w:val="002A10FB"/>
    <w:rsid w:val="002A4CFA"/>
    <w:rsid w:val="002C35A0"/>
    <w:rsid w:val="002C7DD5"/>
    <w:rsid w:val="002D1FC7"/>
    <w:rsid w:val="0034459F"/>
    <w:rsid w:val="0038521B"/>
    <w:rsid w:val="00393D3F"/>
    <w:rsid w:val="003A50CF"/>
    <w:rsid w:val="003C2241"/>
    <w:rsid w:val="003D35B4"/>
    <w:rsid w:val="003D52DF"/>
    <w:rsid w:val="00403E08"/>
    <w:rsid w:val="00424B89"/>
    <w:rsid w:val="004372DE"/>
    <w:rsid w:val="0047173E"/>
    <w:rsid w:val="004A2F17"/>
    <w:rsid w:val="004C3BBF"/>
    <w:rsid w:val="004C7B41"/>
    <w:rsid w:val="004C7F20"/>
    <w:rsid w:val="004D0537"/>
    <w:rsid w:val="004F0F60"/>
    <w:rsid w:val="0051276E"/>
    <w:rsid w:val="00516CCD"/>
    <w:rsid w:val="00537998"/>
    <w:rsid w:val="0055187F"/>
    <w:rsid w:val="00552449"/>
    <w:rsid w:val="00586FE8"/>
    <w:rsid w:val="005B1ACD"/>
    <w:rsid w:val="005C77CB"/>
    <w:rsid w:val="00612A7B"/>
    <w:rsid w:val="006228C8"/>
    <w:rsid w:val="00666A52"/>
    <w:rsid w:val="00667D8D"/>
    <w:rsid w:val="00687300"/>
    <w:rsid w:val="006A5FB2"/>
    <w:rsid w:val="006B0711"/>
    <w:rsid w:val="006C2535"/>
    <w:rsid w:val="006D6DD2"/>
    <w:rsid w:val="006F4518"/>
    <w:rsid w:val="00700A7A"/>
    <w:rsid w:val="0070402F"/>
    <w:rsid w:val="0071041E"/>
    <w:rsid w:val="0073120B"/>
    <w:rsid w:val="007412A0"/>
    <w:rsid w:val="00756336"/>
    <w:rsid w:val="007B2A70"/>
    <w:rsid w:val="007B49A8"/>
    <w:rsid w:val="007C5056"/>
    <w:rsid w:val="0081788C"/>
    <w:rsid w:val="00887BC9"/>
    <w:rsid w:val="0089460E"/>
    <w:rsid w:val="008A1BB0"/>
    <w:rsid w:val="008B66B1"/>
    <w:rsid w:val="008D6EE7"/>
    <w:rsid w:val="00925C7B"/>
    <w:rsid w:val="00930969"/>
    <w:rsid w:val="0096762D"/>
    <w:rsid w:val="009D0A57"/>
    <w:rsid w:val="009D2040"/>
    <w:rsid w:val="00A05B2F"/>
    <w:rsid w:val="00A10AAA"/>
    <w:rsid w:val="00A161FD"/>
    <w:rsid w:val="00A20A9F"/>
    <w:rsid w:val="00A33F09"/>
    <w:rsid w:val="00A35755"/>
    <w:rsid w:val="00A44F71"/>
    <w:rsid w:val="00A87085"/>
    <w:rsid w:val="00AA1611"/>
    <w:rsid w:val="00AA6ACC"/>
    <w:rsid w:val="00AC7D11"/>
    <w:rsid w:val="00AF4ECB"/>
    <w:rsid w:val="00B00E95"/>
    <w:rsid w:val="00B54356"/>
    <w:rsid w:val="00B65DE6"/>
    <w:rsid w:val="00B84780"/>
    <w:rsid w:val="00BB6133"/>
    <w:rsid w:val="00BC2DA4"/>
    <w:rsid w:val="00BE2648"/>
    <w:rsid w:val="00BE459E"/>
    <w:rsid w:val="00C001C0"/>
    <w:rsid w:val="00C02E21"/>
    <w:rsid w:val="00C60003"/>
    <w:rsid w:val="00C961CB"/>
    <w:rsid w:val="00CD6870"/>
    <w:rsid w:val="00CE7006"/>
    <w:rsid w:val="00D24780"/>
    <w:rsid w:val="00D24BBE"/>
    <w:rsid w:val="00D76165"/>
    <w:rsid w:val="00D9075F"/>
    <w:rsid w:val="00D95ECB"/>
    <w:rsid w:val="00DB437F"/>
    <w:rsid w:val="00DF1AD2"/>
    <w:rsid w:val="00E04C4C"/>
    <w:rsid w:val="00E22DE1"/>
    <w:rsid w:val="00E31999"/>
    <w:rsid w:val="00E36F31"/>
    <w:rsid w:val="00E60D1E"/>
    <w:rsid w:val="00E81A68"/>
    <w:rsid w:val="00EB5704"/>
    <w:rsid w:val="00F37603"/>
    <w:rsid w:val="00F411F9"/>
    <w:rsid w:val="00F93CD9"/>
    <w:rsid w:val="00F93ECB"/>
    <w:rsid w:val="00FA45F3"/>
    <w:rsid w:val="00FA4971"/>
    <w:rsid w:val="00FA5B9E"/>
    <w:rsid w:val="00FF0085"/>
    <w:rsid w:val="00FF2CBD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3AF6B92-5CDE-4FBB-A118-61DD377E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54AF9"/>
    <w:rPr>
      <w:sz w:val="20"/>
      <w:szCs w:val="20"/>
      <w:lang w:val="fr-FR"/>
    </w:rPr>
  </w:style>
  <w:style w:type="character" w:styleId="FootnoteReference">
    <w:name w:val="footnote reference"/>
    <w:uiPriority w:val="99"/>
    <w:semiHidden/>
    <w:unhideWhenUsed/>
    <w:rsid w:val="00254A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254AF9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54AF9"/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BB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24BBE"/>
    <w:rPr>
      <w:rFonts w:ascii="Arial" w:hAnsi="Arial" w:cs="Arial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2274</Characters>
  <Application>Microsoft Office Word</Application>
  <DocSecurity>4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ABECASSIS Adrien</cp:lastModifiedBy>
  <cp:revision>2</cp:revision>
  <cp:lastPrinted>2016-03-08T15:06:00Z</cp:lastPrinted>
  <dcterms:created xsi:type="dcterms:W3CDTF">2016-03-08T15:15:00Z</dcterms:created>
  <dcterms:modified xsi:type="dcterms:W3CDTF">2016-03-08T15:15:00Z</dcterms:modified>
</cp:coreProperties>
</file>