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DE1FF1">
        <w:rPr>
          <w:rFonts w:ascii="Times New Roman" w:eastAsia="Times New Roman" w:hAnsi="Times New Roman"/>
          <w:color w:val="0D0D0D"/>
          <w:sz w:val="23"/>
          <w:szCs w:val="23"/>
        </w:rPr>
        <w:t>18</w:t>
      </w:r>
      <w:r w:rsidR="00DC4F96">
        <w:rPr>
          <w:rFonts w:ascii="Times New Roman" w:eastAsia="Times New Roman" w:hAnsi="Times New Roman"/>
          <w:color w:val="0D0D0D"/>
          <w:sz w:val="23"/>
          <w:szCs w:val="23"/>
        </w:rPr>
        <w:t xml:space="preserve"> 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254AF9" w:rsidRDefault="00254AF9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8B70D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4C7F20" w:rsidRDefault="004C7F20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4C7F20" w:rsidRDefault="004C7F20" w:rsidP="004C7F20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:rsidR="004C7F20" w:rsidRPr="00AD62FD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AD62FD">
        <w:rPr>
          <w:b/>
          <w:i/>
          <w:smallCaps/>
        </w:rPr>
        <w:t>Objet</w:t>
      </w:r>
      <w:r w:rsidRPr="00AD62FD">
        <w:rPr>
          <w:i/>
        </w:rPr>
        <w:t xml:space="preserve"> : </w:t>
      </w:r>
      <w:r w:rsidR="0000198A">
        <w:rPr>
          <w:b/>
          <w:i/>
          <w:u w:val="single"/>
        </w:rPr>
        <w:t>Confiance relative à l’action contre le terrorisme</w:t>
      </w:r>
    </w:p>
    <w:p w:rsidR="00DC4F96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284DC8" w:rsidRPr="00AD62FD" w:rsidRDefault="00284DC8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284DC8" w:rsidRDefault="0000198A" w:rsidP="00DE1FF1">
      <w:pPr>
        <w:pStyle w:val="Paragraphedeliste"/>
        <w:spacing w:after="0" w:line="257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Le SIG a testé de nouveau divers indicateurs de confiance dans la lutte contre le terrorisme</w:t>
      </w:r>
      <w:r w:rsidR="00DC4F96" w:rsidRPr="006C2553">
        <w:rPr>
          <w:rFonts w:eastAsia="Times New Roman" w:cs="Times New Roman"/>
          <w:lang w:eastAsia="fr-FR"/>
        </w:rPr>
        <w:t>.</w:t>
      </w:r>
      <w:r w:rsidR="00284DC8">
        <w:rPr>
          <w:rFonts w:eastAsia="Times New Roman" w:cs="Times New Roman"/>
          <w:lang w:eastAsia="fr-FR"/>
        </w:rPr>
        <w:t xml:space="preserve"> </w:t>
      </w:r>
      <w:r w:rsidRPr="00284DC8">
        <w:rPr>
          <w:rFonts w:eastAsia="Times New Roman" w:cs="Times New Roman"/>
          <w:b/>
          <w:lang w:eastAsia="fr-FR"/>
        </w:rPr>
        <w:t>Les résultats ne sont pas bons</w:t>
      </w:r>
      <w:r w:rsidRPr="00284DC8">
        <w:rPr>
          <w:rFonts w:eastAsia="Times New Roman" w:cs="Times New Roman"/>
          <w:lang w:eastAsia="fr-FR"/>
        </w:rPr>
        <w:t> : ils ont poursuivi leur chute depuis novembre, bien plus rapide qu’après janvier</w:t>
      </w:r>
      <w:r w:rsidR="00DC4F96" w:rsidRPr="00284DC8">
        <w:rPr>
          <w:rFonts w:eastAsia="Times New Roman" w:cs="Times New Roman"/>
          <w:lang w:eastAsia="fr-FR"/>
        </w:rPr>
        <w:t>.</w:t>
      </w:r>
    </w:p>
    <w:p w:rsidR="0000198A" w:rsidRDefault="0000198A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Ils sont aujourd’hui </w:t>
      </w:r>
      <w:r w:rsidRPr="00DE1FF1">
        <w:rPr>
          <w:rFonts w:eastAsia="Times New Roman" w:cs="Times New Roman"/>
          <w:b/>
          <w:lang w:eastAsia="fr-FR"/>
        </w:rPr>
        <w:t>aux niveaux les plus bas enregistrés, inférieurs à l’avant-13 novembre</w:t>
      </w:r>
      <w:r>
        <w:rPr>
          <w:rFonts w:eastAsia="Times New Roman" w:cs="Times New Roman"/>
          <w:lang w:eastAsia="fr-FR"/>
        </w:rPr>
        <w:t xml:space="preserve">. Or les réactions en novembre, bien plus dures qu’en janvier, avaient pu </w:t>
      </w:r>
      <w:r w:rsidR="00376A21">
        <w:rPr>
          <w:rFonts w:eastAsia="Times New Roman" w:cs="Times New Roman"/>
          <w:lang w:eastAsia="fr-FR"/>
        </w:rPr>
        <w:t xml:space="preserve">être </w:t>
      </w:r>
      <w:r w:rsidR="00763513">
        <w:rPr>
          <w:rFonts w:eastAsia="Times New Roman" w:cs="Times New Roman"/>
          <w:lang w:eastAsia="fr-FR"/>
        </w:rPr>
        <w:t xml:space="preserve">- </w:t>
      </w:r>
      <w:r w:rsidR="00DE1FF1">
        <w:rPr>
          <w:rFonts w:eastAsia="Times New Roman" w:cs="Times New Roman"/>
          <w:lang w:eastAsia="fr-FR"/>
        </w:rPr>
        <w:t>sur le moment</w:t>
      </w:r>
      <w:r w:rsidR="00763513">
        <w:rPr>
          <w:rFonts w:eastAsia="Times New Roman" w:cs="Times New Roman"/>
          <w:lang w:eastAsia="fr-FR"/>
        </w:rPr>
        <w:t xml:space="preserve"> -</w:t>
      </w:r>
      <w:r w:rsidR="00DE1FF1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canalisées par l’insistance sur le sécuritaire, mais cette carte ne pourra (</w:t>
      </w:r>
      <w:r>
        <w:rPr>
          <w:rFonts w:eastAsia="Times New Roman" w:cs="Times New Roman"/>
          <w:lang w:eastAsia="fr-FR"/>
        </w:rPr>
        <w:t>par définition</w:t>
      </w:r>
      <w:r>
        <w:rPr>
          <w:rFonts w:eastAsia="Times New Roman" w:cs="Times New Roman"/>
          <w:lang w:eastAsia="fr-FR"/>
        </w:rPr>
        <w:t>) pas être rejouée.</w:t>
      </w:r>
    </w:p>
    <w:p w:rsidR="00376A21" w:rsidRDefault="00376A21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On retrouve par ailleurs toujours le </w:t>
      </w:r>
      <w:r w:rsidRPr="00DE1FF1">
        <w:rPr>
          <w:rFonts w:eastAsia="Times New Roman" w:cs="Times New Roman"/>
          <w:b/>
          <w:lang w:eastAsia="fr-FR"/>
        </w:rPr>
        <w:t>même décalage</w:t>
      </w:r>
      <w:r>
        <w:rPr>
          <w:rFonts w:eastAsia="Times New Roman" w:cs="Times New Roman"/>
          <w:lang w:eastAsia="fr-FR"/>
        </w:rPr>
        <w:t xml:space="preserve"> entre </w:t>
      </w:r>
      <w:r w:rsidR="00284DC8">
        <w:rPr>
          <w:rFonts w:eastAsia="Times New Roman" w:cs="Times New Roman"/>
          <w:lang w:eastAsia="fr-FR"/>
        </w:rPr>
        <w:t>d’une part</w:t>
      </w:r>
      <w:r w:rsidR="00284DC8">
        <w:rPr>
          <w:rFonts w:eastAsia="Times New Roman" w:cs="Times New Roman"/>
          <w:lang w:eastAsia="fr-FR"/>
        </w:rPr>
        <w:t xml:space="preserve"> </w:t>
      </w:r>
      <w:r w:rsidRPr="00DE1FF1">
        <w:rPr>
          <w:rFonts w:eastAsia="Times New Roman" w:cs="Times New Roman"/>
          <w:b/>
          <w:lang w:eastAsia="fr-FR"/>
        </w:rPr>
        <w:t>les jugements sur les réponses sécuritaires immédiates</w:t>
      </w:r>
      <w:r>
        <w:rPr>
          <w:rFonts w:eastAsia="Times New Roman" w:cs="Times New Roman"/>
          <w:lang w:eastAsia="fr-FR"/>
        </w:rPr>
        <w:t xml:space="preserve">, </w:t>
      </w:r>
      <w:r w:rsidR="00284DC8">
        <w:rPr>
          <w:rFonts w:eastAsia="Times New Roman" w:cs="Times New Roman"/>
          <w:lang w:eastAsia="fr-FR"/>
        </w:rPr>
        <w:t>d’autre part</w:t>
      </w:r>
      <w:r>
        <w:rPr>
          <w:rFonts w:eastAsia="Times New Roman" w:cs="Times New Roman"/>
          <w:lang w:eastAsia="fr-FR"/>
        </w:rPr>
        <w:t xml:space="preserve"> </w:t>
      </w:r>
      <w:r w:rsidR="00284DC8" w:rsidRPr="00DE1FF1">
        <w:rPr>
          <w:rFonts w:eastAsia="Times New Roman" w:cs="Times New Roman"/>
          <w:b/>
          <w:lang w:eastAsia="fr-FR"/>
        </w:rPr>
        <w:t>les réponses</w:t>
      </w:r>
      <w:r w:rsidRPr="00DE1FF1">
        <w:rPr>
          <w:rFonts w:eastAsia="Times New Roman" w:cs="Times New Roman"/>
          <w:b/>
          <w:lang w:eastAsia="fr-FR"/>
        </w:rPr>
        <w:t xml:space="preserve"> de fond</w:t>
      </w:r>
      <w:r>
        <w:rPr>
          <w:rFonts w:eastAsia="Times New Roman" w:cs="Times New Roman"/>
          <w:lang w:eastAsia="fr-FR"/>
        </w:rPr>
        <w:t xml:space="preserve"> (lutte contre les réseaux) </w:t>
      </w:r>
      <w:r w:rsidRPr="00DE1FF1">
        <w:rPr>
          <w:rFonts w:eastAsia="Times New Roman" w:cs="Times New Roman"/>
          <w:b/>
          <w:lang w:eastAsia="fr-FR"/>
        </w:rPr>
        <w:t>et</w:t>
      </w:r>
      <w:r w:rsidR="00284DC8" w:rsidRPr="00DE1FF1">
        <w:rPr>
          <w:rFonts w:eastAsia="Times New Roman" w:cs="Times New Roman"/>
          <w:b/>
          <w:lang w:eastAsia="fr-FR"/>
        </w:rPr>
        <w:t xml:space="preserve"> surtout</w:t>
      </w:r>
      <w:r w:rsidRPr="00DE1FF1">
        <w:rPr>
          <w:rFonts w:eastAsia="Times New Roman" w:cs="Times New Roman"/>
          <w:b/>
          <w:lang w:eastAsia="fr-FR"/>
        </w:rPr>
        <w:t xml:space="preserve"> sociale</w:t>
      </w:r>
      <w:r w:rsidR="00DE1FF1">
        <w:rPr>
          <w:rFonts w:eastAsia="Times New Roman" w:cs="Times New Roman"/>
          <w:b/>
          <w:lang w:eastAsia="fr-FR"/>
        </w:rPr>
        <w:t>s</w:t>
      </w:r>
      <w:r>
        <w:rPr>
          <w:rFonts w:eastAsia="Times New Roman" w:cs="Times New Roman"/>
          <w:lang w:eastAsia="fr-FR"/>
        </w:rPr>
        <w:t xml:space="preserve"> (prévenir la radicalisation) où notre action est nettement moins bien jugée.</w:t>
      </w:r>
    </w:p>
    <w:p w:rsidR="00DE1FF1" w:rsidRDefault="00DE1FF1" w:rsidP="00DE1FF1">
      <w:pPr>
        <w:pStyle w:val="Paragraphedeliste"/>
        <w:spacing w:after="0" w:line="257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</w:p>
    <w:p w:rsidR="00E27367" w:rsidRDefault="00763513" w:rsidP="00DE1FF1">
      <w:pPr>
        <w:pStyle w:val="Paragraphedeliste"/>
        <w:spacing w:after="0" w:line="257" w:lineRule="auto"/>
        <w:ind w:left="0"/>
        <w:contextualSpacing w:val="0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w:drawing>
          <wp:inline distT="0" distB="0" distL="0" distR="0" wp14:anchorId="614BBD4B">
            <wp:extent cx="6117772" cy="288500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19" cy="2882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37D" w:rsidRDefault="00376A21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Un travail a été entamé au sein du cabinet sur les réponses possibles à un 3</w:t>
      </w:r>
      <w:r w:rsidRPr="00376A21">
        <w:rPr>
          <w:rFonts w:eastAsia="Times New Roman" w:cs="Times New Roman"/>
          <w:vertAlign w:val="superscript"/>
          <w:lang w:eastAsia="fr-FR"/>
        </w:rPr>
        <w:t>ème</w:t>
      </w:r>
      <w:r>
        <w:rPr>
          <w:rFonts w:eastAsia="Times New Roman" w:cs="Times New Roman"/>
          <w:lang w:eastAsia="fr-FR"/>
        </w:rPr>
        <w:t xml:space="preserve"> attentat ; où la résilience de </w:t>
      </w:r>
      <w:proofErr w:type="gramStart"/>
      <w:r>
        <w:rPr>
          <w:rFonts w:eastAsia="Times New Roman" w:cs="Times New Roman"/>
          <w:lang w:eastAsia="fr-FR"/>
        </w:rPr>
        <w:t>la</w:t>
      </w:r>
      <w:proofErr w:type="gramEnd"/>
      <w:r>
        <w:rPr>
          <w:rFonts w:eastAsia="Times New Roman" w:cs="Times New Roman"/>
          <w:lang w:eastAsia="fr-FR"/>
        </w:rPr>
        <w:t xml:space="preserve"> raison</w:t>
      </w:r>
      <w:r w:rsidR="00284DC8">
        <w:rPr>
          <w:rFonts w:eastAsia="Times New Roman" w:cs="Times New Roman"/>
          <w:lang w:eastAsia="fr-FR"/>
        </w:rPr>
        <w:t xml:space="preserve"> républicaine pourrait être mise beaucoup pl</w:t>
      </w:r>
      <w:bookmarkStart w:id="0" w:name="_GoBack"/>
      <w:bookmarkEnd w:id="0"/>
      <w:r w:rsidR="00284DC8">
        <w:rPr>
          <w:rFonts w:eastAsia="Times New Roman" w:cs="Times New Roman"/>
          <w:lang w:eastAsia="fr-FR"/>
        </w:rPr>
        <w:t>us frontalement à l’épreuve</w:t>
      </w:r>
      <w:r w:rsidR="00953A25">
        <w:rPr>
          <w:rFonts w:eastAsia="Times New Roman" w:cs="Times New Roman"/>
          <w:lang w:eastAsia="fr-FR"/>
        </w:rPr>
        <w:t>.</w:t>
      </w:r>
    </w:p>
    <w:p w:rsidR="00284DC8" w:rsidRPr="00AD62FD" w:rsidRDefault="00284DC8" w:rsidP="00C2457E">
      <w:pPr>
        <w:spacing w:before="180" w:after="0" w:line="257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Dans l’immédiat, ces résultats interrogent sur les conséquences et explications </w:t>
      </w:r>
      <w:r w:rsidR="00DE1FF1">
        <w:rPr>
          <w:rFonts w:eastAsia="Times New Roman" w:cs="Times New Roman"/>
          <w:lang w:eastAsia="fr-FR"/>
        </w:rPr>
        <w:t>nécessaires quant aux</w:t>
      </w:r>
      <w:r>
        <w:rPr>
          <w:rFonts w:eastAsia="Times New Roman" w:cs="Times New Roman"/>
          <w:lang w:eastAsia="fr-FR"/>
        </w:rPr>
        <w:t xml:space="preserve"> décisions sur la déchéance de nationalité.</w:t>
      </w:r>
    </w:p>
    <w:p w:rsidR="00DC4F96" w:rsidRPr="00AD62FD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DC4F96" w:rsidRDefault="00DC4F96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DC4F96" w:rsidRPr="00AD62FD" w:rsidRDefault="00DC4F96" w:rsidP="00C2457E">
      <w:pPr>
        <w:spacing w:before="120" w:after="0" w:line="264" w:lineRule="auto"/>
        <w:jc w:val="both"/>
        <w:rPr>
          <w:i/>
        </w:rPr>
      </w:pPr>
    </w:p>
    <w:p w:rsidR="00666A52" w:rsidRPr="00AD62FD" w:rsidRDefault="00DC4F96" w:rsidP="00C2457E">
      <w:pPr>
        <w:tabs>
          <w:tab w:val="left" w:pos="6804"/>
        </w:tabs>
        <w:spacing w:before="120" w:after="0" w:line="264" w:lineRule="auto"/>
        <w:jc w:val="both"/>
      </w:pPr>
      <w:r w:rsidRPr="00AD62FD">
        <w:tab/>
        <w:t>Adrien ABECASSIS</w:t>
      </w:r>
    </w:p>
    <w:sectPr w:rsidR="00666A52" w:rsidRPr="00AD62FD" w:rsidSect="004B090F">
      <w:footerReference w:type="default" r:id="rId10"/>
      <w:pgSz w:w="11906" w:h="16838" w:code="9"/>
      <w:pgMar w:top="794" w:right="1134" w:bottom="907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CE2" w:rsidRDefault="009E0CE2" w:rsidP="00254AF9">
      <w:pPr>
        <w:spacing w:after="0" w:line="240" w:lineRule="auto"/>
      </w:pPr>
      <w:r>
        <w:separator/>
      </w:r>
    </w:p>
  </w:endnote>
  <w:endnote w:type="continuationSeparator" w:id="0">
    <w:p w:rsidR="009E0CE2" w:rsidRDefault="009E0CE2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182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666A52" w:rsidRPr="00254AF9" w:rsidRDefault="00666A52" w:rsidP="00254AF9">
        <w:pPr>
          <w:pStyle w:val="Pieddepage"/>
          <w:jc w:val="right"/>
          <w:rPr>
            <w:rFonts w:asciiTheme="majorHAnsi" w:hAnsiTheme="majorHAnsi"/>
          </w:rPr>
        </w:pPr>
        <w:r w:rsidRPr="00254AF9">
          <w:rPr>
            <w:rFonts w:asciiTheme="majorHAnsi" w:hAnsiTheme="majorHAnsi"/>
          </w:rPr>
          <w:fldChar w:fldCharType="begin"/>
        </w:r>
        <w:r w:rsidRPr="00254AF9">
          <w:rPr>
            <w:rFonts w:asciiTheme="majorHAnsi" w:hAnsiTheme="majorHAnsi"/>
          </w:rPr>
          <w:instrText>PAGE   \* MERGEFORMAT</w:instrText>
        </w:r>
        <w:r w:rsidRPr="00254AF9">
          <w:rPr>
            <w:rFonts w:asciiTheme="majorHAnsi" w:hAnsiTheme="majorHAnsi"/>
          </w:rPr>
          <w:fldChar w:fldCharType="separate"/>
        </w:r>
        <w:r w:rsidR="00823FDD">
          <w:rPr>
            <w:rFonts w:asciiTheme="majorHAnsi" w:hAnsiTheme="majorHAnsi"/>
            <w:noProof/>
          </w:rPr>
          <w:t>1</w:t>
        </w:r>
        <w:r w:rsidRPr="00254AF9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CE2" w:rsidRDefault="009E0CE2" w:rsidP="00254AF9">
      <w:pPr>
        <w:spacing w:after="0" w:line="240" w:lineRule="auto"/>
      </w:pPr>
      <w:r>
        <w:separator/>
      </w:r>
    </w:p>
  </w:footnote>
  <w:footnote w:type="continuationSeparator" w:id="0">
    <w:p w:rsidR="009E0CE2" w:rsidRDefault="009E0CE2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0198A"/>
    <w:rsid w:val="00020549"/>
    <w:rsid w:val="000428D0"/>
    <w:rsid w:val="00075454"/>
    <w:rsid w:val="00170CDF"/>
    <w:rsid w:val="001E011A"/>
    <w:rsid w:val="001F00B4"/>
    <w:rsid w:val="00254AF9"/>
    <w:rsid w:val="00284DC8"/>
    <w:rsid w:val="002A10FB"/>
    <w:rsid w:val="002A4CFA"/>
    <w:rsid w:val="002C35A0"/>
    <w:rsid w:val="003318A5"/>
    <w:rsid w:val="00376A21"/>
    <w:rsid w:val="003B4D95"/>
    <w:rsid w:val="003C2241"/>
    <w:rsid w:val="00411895"/>
    <w:rsid w:val="0047173E"/>
    <w:rsid w:val="004B090F"/>
    <w:rsid w:val="004C7F20"/>
    <w:rsid w:val="00516CCD"/>
    <w:rsid w:val="0055187F"/>
    <w:rsid w:val="00586FE8"/>
    <w:rsid w:val="005874F5"/>
    <w:rsid w:val="005B5AB2"/>
    <w:rsid w:val="006262CF"/>
    <w:rsid w:val="00662A07"/>
    <w:rsid w:val="00666A52"/>
    <w:rsid w:val="00685CD7"/>
    <w:rsid w:val="006862CF"/>
    <w:rsid w:val="006C2553"/>
    <w:rsid w:val="00700A7A"/>
    <w:rsid w:val="0073120B"/>
    <w:rsid w:val="0075560A"/>
    <w:rsid w:val="00763513"/>
    <w:rsid w:val="007B49A8"/>
    <w:rsid w:val="007E4E1A"/>
    <w:rsid w:val="00823FDD"/>
    <w:rsid w:val="008A621C"/>
    <w:rsid w:val="00925C7B"/>
    <w:rsid w:val="00930969"/>
    <w:rsid w:val="00953A25"/>
    <w:rsid w:val="009E0CE2"/>
    <w:rsid w:val="00AA1611"/>
    <w:rsid w:val="00AC761B"/>
    <w:rsid w:val="00AD62FD"/>
    <w:rsid w:val="00AE47FF"/>
    <w:rsid w:val="00B54356"/>
    <w:rsid w:val="00B61EEC"/>
    <w:rsid w:val="00C001C0"/>
    <w:rsid w:val="00C02E21"/>
    <w:rsid w:val="00C2457E"/>
    <w:rsid w:val="00D24780"/>
    <w:rsid w:val="00D76165"/>
    <w:rsid w:val="00DC4F96"/>
    <w:rsid w:val="00DE1FF1"/>
    <w:rsid w:val="00E27367"/>
    <w:rsid w:val="00E458DF"/>
    <w:rsid w:val="00F12AFD"/>
    <w:rsid w:val="00F41A2A"/>
    <w:rsid w:val="00F4637D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736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367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736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367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AAFFC-CCB9-4F55-87E4-892FEE6BD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4</cp:revision>
  <dcterms:created xsi:type="dcterms:W3CDTF">2016-03-18T15:18:00Z</dcterms:created>
  <dcterms:modified xsi:type="dcterms:W3CDTF">2016-03-18T15:36:00Z</dcterms:modified>
</cp:coreProperties>
</file>