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A54038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FD348C">
        <w:rPr>
          <w:rFonts w:ascii="Times New Roman" w:eastAsia="Times New Roman" w:hAnsi="Times New Roman"/>
          <w:color w:val="0D0D0D"/>
          <w:sz w:val="23"/>
          <w:szCs w:val="23"/>
        </w:rPr>
        <w:t>1</w:t>
      </w:r>
      <w:r w:rsidR="00DC4F96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F71E3" w:rsidRDefault="00AF71E3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F71E3" w:rsidRDefault="00AF71E3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AD62FD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AD62FD">
        <w:rPr>
          <w:b/>
          <w:i/>
          <w:smallCaps/>
        </w:rPr>
        <w:t>Objet</w:t>
      </w:r>
      <w:r w:rsidRPr="00AD62FD">
        <w:rPr>
          <w:i/>
        </w:rPr>
        <w:t xml:space="preserve"> : </w:t>
      </w:r>
      <w:r w:rsidR="00D57EEB">
        <w:rPr>
          <w:b/>
          <w:i/>
          <w:u w:val="single"/>
        </w:rPr>
        <w:t>Actualisation</w:t>
      </w:r>
      <w:r w:rsidR="00FD348C">
        <w:rPr>
          <w:b/>
          <w:i/>
          <w:u w:val="single"/>
        </w:rPr>
        <w:t xml:space="preserve"> opinion</w:t>
      </w:r>
      <w:r w:rsidR="0069223A">
        <w:rPr>
          <w:b/>
          <w:i/>
          <w:u w:val="single"/>
        </w:rPr>
        <w:t xml:space="preserve"> </w:t>
      </w:r>
      <w:r w:rsidR="00FD348C">
        <w:rPr>
          <w:b/>
          <w:i/>
          <w:u w:val="single"/>
        </w:rPr>
        <w:t>– déchéance de nationalité</w:t>
      </w:r>
    </w:p>
    <w:p w:rsid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AF71E3" w:rsidRPr="00AD62FD" w:rsidRDefault="00AF71E3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FD348C" w:rsidRDefault="00FD348C" w:rsidP="00EF6D7B">
      <w:pPr>
        <w:pStyle w:val="Paragraphedeliste"/>
        <w:numPr>
          <w:ilvl w:val="0"/>
          <w:numId w:val="1"/>
        </w:numPr>
        <w:spacing w:after="0" w:line="276" w:lineRule="auto"/>
        <w:ind w:left="0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 SIG a interrogé les sondés sur le souhait d’aboutissement du pro</w:t>
      </w:r>
      <w:r w:rsidR="006F585C">
        <w:rPr>
          <w:rFonts w:eastAsia="Times New Roman" w:cs="Times New Roman"/>
          <w:lang w:eastAsia="fr-FR"/>
        </w:rPr>
        <w:t>jet de déchéance de nationalité :</w:t>
      </w:r>
    </w:p>
    <w:p w:rsidR="00DC4F96" w:rsidRPr="006F585C" w:rsidRDefault="00FD348C" w:rsidP="00EF6D7B">
      <w:pPr>
        <w:pStyle w:val="Paragraphedeliste"/>
        <w:numPr>
          <w:ilvl w:val="0"/>
          <w:numId w:val="12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6F585C">
        <w:rPr>
          <w:rFonts w:eastAsia="Times New Roman" w:cs="Times New Roman"/>
          <w:lang w:eastAsia="fr-FR"/>
        </w:rPr>
        <w:t xml:space="preserve">Après </w:t>
      </w:r>
      <w:r w:rsidRPr="006F585C">
        <w:rPr>
          <w:rFonts w:eastAsia="Times New Roman" w:cs="Times New Roman"/>
          <w:bCs/>
          <w:lang w:eastAsia="fr-FR"/>
        </w:rPr>
        <w:t>rappel</w:t>
      </w:r>
      <w:r w:rsidRPr="006F585C">
        <w:rPr>
          <w:rFonts w:eastAsia="Times New Roman" w:cs="Times New Roman"/>
          <w:lang w:eastAsia="fr-FR"/>
        </w:rPr>
        <w:t xml:space="preserve"> que « </w:t>
      </w:r>
      <w:r w:rsidRPr="006F585C">
        <w:rPr>
          <w:rFonts w:eastAsia="Times New Roman" w:cs="Times New Roman"/>
          <w:i/>
          <w:lang w:eastAsia="fr-FR"/>
        </w:rPr>
        <w:t>le Sénat et l'Assemblée nationale n'arrivent pas à trouver d'accord</w:t>
      </w:r>
      <w:r w:rsidRPr="006F585C">
        <w:rPr>
          <w:rFonts w:eastAsia="Times New Roman" w:cs="Times New Roman"/>
          <w:lang w:eastAsia="fr-FR"/>
        </w:rPr>
        <w:t xml:space="preserve"> », </w:t>
      </w:r>
      <w:r w:rsidRPr="006F585C">
        <w:rPr>
          <w:rFonts w:eastAsia="Times New Roman" w:cs="Times New Roman"/>
          <w:b/>
          <w:lang w:eastAsia="fr-FR"/>
        </w:rPr>
        <w:t>54% estiment que « </w:t>
      </w:r>
      <w:r w:rsidRPr="006F585C">
        <w:rPr>
          <w:rFonts w:eastAsia="Times New Roman" w:cs="Times New Roman"/>
          <w:b/>
          <w:i/>
          <w:lang w:eastAsia="fr-FR"/>
        </w:rPr>
        <w:t>m</w:t>
      </w:r>
      <w:r w:rsidRPr="006F585C">
        <w:rPr>
          <w:b/>
          <w:i/>
          <w:color w:val="000000"/>
        </w:rPr>
        <w:t>algré ce désaccord, le Gouvernement doit tout faire pour que la déchéance de nationalité soit adoptée</w:t>
      </w:r>
      <w:r w:rsidRPr="006F585C">
        <w:rPr>
          <w:b/>
          <w:color w:val="000000"/>
        </w:rPr>
        <w:t> »</w:t>
      </w:r>
      <w:r w:rsidRPr="006F585C">
        <w:rPr>
          <w:color w:val="000000"/>
        </w:rPr>
        <w:t>, contre 44% jugeant que « </w:t>
      </w:r>
      <w:r w:rsidRPr="006F585C">
        <w:rPr>
          <w:i/>
          <w:color w:val="000000"/>
        </w:rPr>
        <w:t>f</w:t>
      </w:r>
      <w:r w:rsidRPr="006F585C">
        <w:rPr>
          <w:i/>
          <w:color w:val="000000"/>
        </w:rPr>
        <w:t>ace à ce désaccord, le Gouvernement doit abandonner ce projet</w:t>
      </w:r>
      <w:r w:rsidRPr="006F585C">
        <w:rPr>
          <w:color w:val="000000"/>
        </w:rPr>
        <w:t> ».</w:t>
      </w:r>
    </w:p>
    <w:p w:rsidR="00FD348C" w:rsidRPr="006F585C" w:rsidRDefault="006F65B7" w:rsidP="00EF6D7B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6F585C">
        <w:rPr>
          <w:rFonts w:eastAsia="Times New Roman" w:cs="Times New Roman"/>
          <w:bCs/>
          <w:lang w:eastAsia="fr-FR"/>
        </w:rPr>
        <w:t xml:space="preserve">A gauche, le souhait de continuer à rechercher un accord </w:t>
      </w:r>
      <w:r w:rsidR="003C2021" w:rsidRPr="006F585C">
        <w:rPr>
          <w:rFonts w:eastAsia="Times New Roman" w:cs="Times New Roman"/>
          <w:bCs/>
          <w:lang w:eastAsia="fr-FR"/>
        </w:rPr>
        <w:t>est de</w:t>
      </w:r>
      <w:r w:rsidRPr="006F585C">
        <w:rPr>
          <w:rFonts w:eastAsia="Times New Roman" w:cs="Times New Roman"/>
          <w:bCs/>
          <w:lang w:eastAsia="fr-FR"/>
        </w:rPr>
        <w:t xml:space="preserve"> 40% (45% au PS).</w:t>
      </w:r>
    </w:p>
    <w:p w:rsidR="006F65B7" w:rsidRPr="006F585C" w:rsidRDefault="006F65B7" w:rsidP="00EF6D7B">
      <w:pPr>
        <w:pStyle w:val="Paragraphedeliste"/>
        <w:numPr>
          <w:ilvl w:val="0"/>
          <w:numId w:val="12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6F585C">
        <w:rPr>
          <w:rFonts w:eastAsia="Times New Roman" w:cs="Times New Roman"/>
          <w:bCs/>
          <w:lang w:eastAsia="fr-FR"/>
        </w:rPr>
        <w:t>Ces résultats sont contre-intuitifs avec la très grande lassitude provoquée</w:t>
      </w:r>
      <w:r w:rsidR="003C2021" w:rsidRPr="006F585C">
        <w:rPr>
          <w:rFonts w:eastAsia="Times New Roman" w:cs="Times New Roman"/>
          <w:bCs/>
          <w:lang w:eastAsia="fr-FR"/>
        </w:rPr>
        <w:t xml:space="preserve"> par</w:t>
      </w:r>
      <w:r w:rsidRPr="006F585C">
        <w:rPr>
          <w:rFonts w:eastAsia="Times New Roman" w:cs="Times New Roman"/>
          <w:bCs/>
          <w:lang w:eastAsia="fr-FR"/>
        </w:rPr>
        <w:t xml:space="preserve"> la prolongation de ce débat dans l’opinion.</w:t>
      </w:r>
      <w:r w:rsidR="003C2021" w:rsidRPr="006F585C">
        <w:rPr>
          <w:rFonts w:eastAsia="Times New Roman" w:cs="Times New Roman"/>
          <w:bCs/>
          <w:lang w:eastAsia="fr-FR"/>
        </w:rPr>
        <w:t xml:space="preserve"> </w:t>
      </w:r>
      <w:r w:rsidRPr="006F585C">
        <w:rPr>
          <w:rFonts w:eastAsia="Times New Roman" w:cs="Times New Roman"/>
          <w:bCs/>
          <w:lang w:eastAsia="fr-FR"/>
        </w:rPr>
        <w:t xml:space="preserve">Le sujet est cependant </w:t>
      </w:r>
      <w:r w:rsidRPr="006F585C">
        <w:rPr>
          <w:rFonts w:eastAsia="Times New Roman" w:cs="Times New Roman"/>
          <w:b/>
          <w:bCs/>
          <w:lang w:eastAsia="fr-FR"/>
        </w:rPr>
        <w:t>peu présent dans les citations spontanées des Français</w:t>
      </w:r>
      <w:r w:rsidR="003C2021" w:rsidRPr="006F585C">
        <w:rPr>
          <w:rFonts w:eastAsia="Times New Roman" w:cs="Times New Roman"/>
          <w:b/>
          <w:bCs/>
          <w:lang w:eastAsia="fr-FR"/>
        </w:rPr>
        <w:t> : la question peut donc paraître théorique</w:t>
      </w:r>
      <w:r w:rsidR="003C2021" w:rsidRPr="006F585C">
        <w:rPr>
          <w:rFonts w:eastAsia="Times New Roman" w:cs="Times New Roman"/>
          <w:bCs/>
          <w:lang w:eastAsia="fr-FR"/>
        </w:rPr>
        <w:t xml:space="preserve"> à tous ceux qui n’ont pas remarqué la position du Sénat, et qui voient certainement la polémique comme calmée.</w:t>
      </w:r>
      <w:r w:rsidR="00EF6D7B">
        <w:rPr>
          <w:rFonts w:eastAsia="Times New Roman" w:cs="Times New Roman"/>
          <w:bCs/>
          <w:lang w:eastAsia="fr-FR"/>
        </w:rPr>
        <w:t xml:space="preserve"> </w:t>
      </w:r>
      <w:r w:rsidR="00EF6D7B" w:rsidRPr="00EF6D7B">
        <w:rPr>
          <w:rFonts w:eastAsia="Times New Roman" w:cs="Times New Roman"/>
          <w:b/>
          <w:bCs/>
          <w:lang w:eastAsia="fr-FR"/>
        </w:rPr>
        <w:t>Une relance des disputes pourrait faire baisser les soutiens</w:t>
      </w:r>
      <w:r w:rsidR="00EF6D7B">
        <w:rPr>
          <w:rFonts w:eastAsia="Times New Roman" w:cs="Times New Roman"/>
          <w:bCs/>
          <w:lang w:eastAsia="fr-FR"/>
        </w:rPr>
        <w:t>.</w:t>
      </w:r>
    </w:p>
    <w:p w:rsidR="003C2021" w:rsidRPr="006F585C" w:rsidRDefault="003C2021" w:rsidP="00EF6D7B">
      <w:pPr>
        <w:pStyle w:val="Paragraphedeliste"/>
        <w:numPr>
          <w:ilvl w:val="0"/>
          <w:numId w:val="12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6F585C">
        <w:rPr>
          <w:rFonts w:eastAsia="Times New Roman" w:cs="Times New Roman"/>
          <w:b/>
          <w:bCs/>
          <w:lang w:eastAsia="fr-FR"/>
        </w:rPr>
        <w:t xml:space="preserve">Il est également probable que l’arrestation de S. </w:t>
      </w:r>
      <w:proofErr w:type="spellStart"/>
      <w:r w:rsidRPr="006F585C">
        <w:rPr>
          <w:rFonts w:eastAsia="Times New Roman" w:cs="Times New Roman"/>
          <w:b/>
          <w:bCs/>
          <w:lang w:eastAsia="fr-FR"/>
        </w:rPr>
        <w:t>Abdelslam</w:t>
      </w:r>
      <w:proofErr w:type="spellEnd"/>
      <w:r w:rsidRPr="006F585C">
        <w:rPr>
          <w:rFonts w:eastAsia="Times New Roman" w:cs="Times New Roman"/>
          <w:b/>
          <w:bCs/>
          <w:lang w:eastAsia="fr-FR"/>
        </w:rPr>
        <w:t>, qui a eu lieu au moment du terrain du sondage, ait joué dans les réponses</w:t>
      </w:r>
      <w:r w:rsidRPr="006F585C">
        <w:rPr>
          <w:rFonts w:eastAsia="Times New Roman" w:cs="Times New Roman"/>
          <w:bCs/>
          <w:lang w:eastAsia="fr-FR"/>
        </w:rPr>
        <w:t>.</w:t>
      </w:r>
    </w:p>
    <w:p w:rsidR="006F585C" w:rsidRDefault="006F585C" w:rsidP="00EF6D7B">
      <w:pPr>
        <w:pStyle w:val="Paragraphedeliste"/>
        <w:spacing w:after="0" w:line="276" w:lineRule="auto"/>
        <w:ind w:left="0"/>
        <w:contextualSpacing w:val="0"/>
        <w:jc w:val="both"/>
        <w:rPr>
          <w:rFonts w:eastAsia="Times New Roman" w:cs="Times New Roman"/>
          <w:bCs/>
          <w:lang w:eastAsia="fr-FR"/>
        </w:rPr>
      </w:pPr>
    </w:p>
    <w:p w:rsidR="00812610" w:rsidRDefault="00C727A0" w:rsidP="00EF6D7B">
      <w:pPr>
        <w:pStyle w:val="Paragraphedeliste"/>
        <w:numPr>
          <w:ilvl w:val="0"/>
          <w:numId w:val="1"/>
        </w:numPr>
        <w:spacing w:after="0" w:line="276" w:lineRule="auto"/>
        <w:ind w:left="0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6F585C">
        <w:rPr>
          <w:rFonts w:eastAsia="Times New Roman" w:cs="Times New Roman"/>
          <w:b/>
          <w:bCs/>
          <w:lang w:eastAsia="fr-FR"/>
        </w:rPr>
        <w:t xml:space="preserve">Si abandon il y a, une explication sur le fond pourrait être nécessaire, sans </w:t>
      </w:r>
      <w:r w:rsidR="007108E3" w:rsidRPr="006F585C">
        <w:rPr>
          <w:rFonts w:eastAsia="Times New Roman" w:cs="Times New Roman"/>
          <w:b/>
          <w:bCs/>
          <w:lang w:eastAsia="fr-FR"/>
        </w:rPr>
        <w:t>la restreindre</w:t>
      </w:r>
      <w:r w:rsidRPr="006F585C">
        <w:rPr>
          <w:rFonts w:eastAsia="Times New Roman" w:cs="Times New Roman"/>
          <w:b/>
          <w:bCs/>
          <w:lang w:eastAsia="fr-FR"/>
        </w:rPr>
        <w:t xml:space="preserve"> au</w:t>
      </w:r>
      <w:r w:rsidR="007108E3" w:rsidRPr="006F585C">
        <w:rPr>
          <w:rFonts w:eastAsia="Times New Roman" w:cs="Times New Roman"/>
          <w:b/>
          <w:bCs/>
          <w:lang w:eastAsia="fr-FR"/>
        </w:rPr>
        <w:t xml:space="preserve"> récit du</w:t>
      </w:r>
      <w:r w:rsidR="00812610" w:rsidRPr="006F585C">
        <w:rPr>
          <w:rFonts w:eastAsia="Times New Roman" w:cs="Times New Roman"/>
          <w:b/>
          <w:bCs/>
          <w:lang w:eastAsia="fr-FR"/>
        </w:rPr>
        <w:t xml:space="preserve"> blocage politicien</w:t>
      </w:r>
      <w:r w:rsidR="00812610">
        <w:rPr>
          <w:rFonts w:eastAsia="Times New Roman" w:cs="Times New Roman"/>
          <w:bCs/>
          <w:lang w:eastAsia="fr-FR"/>
        </w:rPr>
        <w:t xml:space="preserve"> </w:t>
      </w:r>
      <w:r w:rsidR="00AF7E86">
        <w:rPr>
          <w:rFonts w:eastAsia="Times New Roman" w:cs="Times New Roman"/>
          <w:bCs/>
          <w:lang w:eastAsia="fr-FR"/>
        </w:rPr>
        <w:t>-</w:t>
      </w:r>
      <w:r w:rsidR="00812610">
        <w:rPr>
          <w:rFonts w:eastAsia="Times New Roman" w:cs="Times New Roman"/>
          <w:bCs/>
          <w:lang w:eastAsia="fr-FR"/>
        </w:rPr>
        <w:t xml:space="preserve"> </w:t>
      </w:r>
      <w:r w:rsidRPr="006F585C">
        <w:rPr>
          <w:rFonts w:eastAsia="Times New Roman" w:cs="Times New Roman"/>
          <w:lang w:eastAsia="fr-FR"/>
        </w:rPr>
        <w:t>dont</w:t>
      </w:r>
      <w:r>
        <w:rPr>
          <w:rFonts w:eastAsia="Times New Roman" w:cs="Times New Roman"/>
          <w:bCs/>
          <w:lang w:eastAsia="fr-FR"/>
        </w:rPr>
        <w:t xml:space="preserve"> </w:t>
      </w:r>
      <w:r w:rsidR="007108E3">
        <w:rPr>
          <w:rFonts w:eastAsia="Times New Roman" w:cs="Times New Roman"/>
          <w:bCs/>
          <w:lang w:eastAsia="fr-FR"/>
        </w:rPr>
        <w:t>l’ensemble de la classe politique</w:t>
      </w:r>
      <w:r>
        <w:rPr>
          <w:rFonts w:eastAsia="Times New Roman" w:cs="Times New Roman"/>
          <w:bCs/>
          <w:lang w:eastAsia="fr-FR"/>
        </w:rPr>
        <w:t xml:space="preserve"> sera tenu</w:t>
      </w:r>
      <w:r w:rsidR="007108E3">
        <w:rPr>
          <w:rFonts w:eastAsia="Times New Roman" w:cs="Times New Roman"/>
          <w:bCs/>
          <w:lang w:eastAsia="fr-FR"/>
        </w:rPr>
        <w:t>e</w:t>
      </w:r>
      <w:r>
        <w:rPr>
          <w:rFonts w:eastAsia="Times New Roman" w:cs="Times New Roman"/>
          <w:bCs/>
          <w:lang w:eastAsia="fr-FR"/>
        </w:rPr>
        <w:t xml:space="preserve"> responsable de ne pas avoir su le surmonter</w:t>
      </w:r>
      <w:r w:rsidR="007108E3">
        <w:rPr>
          <w:rFonts w:eastAsia="Times New Roman" w:cs="Times New Roman"/>
          <w:bCs/>
          <w:lang w:eastAsia="fr-FR"/>
        </w:rPr>
        <w:t>, mais le Président sans doute davantage du fait de sa fonction</w:t>
      </w:r>
      <w:r w:rsidR="00812610">
        <w:rPr>
          <w:rFonts w:eastAsia="Times New Roman" w:cs="Times New Roman"/>
          <w:bCs/>
          <w:lang w:eastAsia="fr-FR"/>
        </w:rPr>
        <w:t>.</w:t>
      </w:r>
    </w:p>
    <w:p w:rsidR="006F65B7" w:rsidRPr="00AF71E3" w:rsidRDefault="00812610" w:rsidP="00EF6D7B">
      <w:pPr>
        <w:spacing w:before="120" w:after="0" w:line="276" w:lineRule="auto"/>
        <w:ind w:left="284"/>
        <w:jc w:val="both"/>
        <w:rPr>
          <w:rFonts w:eastAsia="Times New Roman" w:cs="Times New Roman"/>
          <w:bCs/>
          <w:i/>
          <w:lang w:eastAsia="fr-FR"/>
        </w:rPr>
      </w:pPr>
      <w:r w:rsidRPr="00AF71E3">
        <w:rPr>
          <w:rFonts w:eastAsia="Times New Roman" w:cs="Times New Roman"/>
          <w:bCs/>
          <w:i/>
          <w:lang w:eastAsia="fr-FR"/>
        </w:rPr>
        <w:t xml:space="preserve">Par exemple : </w:t>
      </w:r>
      <w:r w:rsidR="007108E3" w:rsidRPr="00AF71E3">
        <w:rPr>
          <w:rFonts w:eastAsia="Times New Roman" w:cs="Times New Roman"/>
          <w:bCs/>
          <w:i/>
          <w:lang w:eastAsia="fr-FR"/>
        </w:rPr>
        <w:t>proposition toujours légitime sur le fond ;</w:t>
      </w:r>
      <w:r w:rsidR="00392307" w:rsidRPr="00AF71E3">
        <w:rPr>
          <w:rFonts w:eastAsia="Times New Roman" w:cs="Times New Roman"/>
          <w:bCs/>
          <w:i/>
          <w:lang w:eastAsia="fr-FR"/>
        </w:rPr>
        <w:t xml:space="preserve"> mais dont l’examen a fait surgir</w:t>
      </w:r>
      <w:r w:rsidR="007108E3" w:rsidRPr="00AF71E3">
        <w:rPr>
          <w:rFonts w:eastAsia="Times New Roman" w:cs="Times New Roman"/>
          <w:bCs/>
          <w:i/>
          <w:lang w:eastAsia="fr-FR"/>
        </w:rPr>
        <w:t xml:space="preserve"> des </w:t>
      </w:r>
      <w:r w:rsidR="00EF6D7B">
        <w:rPr>
          <w:rFonts w:eastAsia="Times New Roman" w:cs="Times New Roman"/>
          <w:bCs/>
          <w:i/>
          <w:lang w:eastAsia="fr-FR"/>
        </w:rPr>
        <w:t>questions</w:t>
      </w:r>
      <w:r w:rsidR="007108E3" w:rsidRPr="00AF71E3">
        <w:rPr>
          <w:rFonts w:eastAsia="Times New Roman" w:cs="Times New Roman"/>
          <w:bCs/>
          <w:i/>
          <w:lang w:eastAsia="fr-FR"/>
        </w:rPr>
        <w:t xml:space="preserve"> </w:t>
      </w:r>
      <w:r w:rsidRPr="00AF71E3">
        <w:rPr>
          <w:rFonts w:eastAsia="Times New Roman" w:cs="Times New Roman"/>
          <w:bCs/>
          <w:i/>
          <w:lang w:eastAsia="fr-FR"/>
        </w:rPr>
        <w:t xml:space="preserve">que personne ne peut </w:t>
      </w:r>
      <w:r w:rsidR="00392307" w:rsidRPr="00AF71E3">
        <w:rPr>
          <w:rFonts w:eastAsia="Times New Roman" w:cs="Times New Roman"/>
          <w:bCs/>
          <w:i/>
          <w:lang w:eastAsia="fr-FR"/>
        </w:rPr>
        <w:t>facilement écart</w:t>
      </w:r>
      <w:r w:rsidRPr="00AF71E3">
        <w:rPr>
          <w:rFonts w:eastAsia="Times New Roman" w:cs="Times New Roman"/>
          <w:bCs/>
          <w:i/>
          <w:lang w:eastAsia="fr-FR"/>
        </w:rPr>
        <w:t>er</w:t>
      </w:r>
      <w:r w:rsidR="00DE372A">
        <w:rPr>
          <w:rFonts w:eastAsia="Times New Roman" w:cs="Times New Roman"/>
          <w:bCs/>
          <w:i/>
          <w:lang w:eastAsia="fr-FR"/>
        </w:rPr>
        <w:t xml:space="preserve"> concernant</w:t>
      </w:r>
      <w:r w:rsidR="00DE372A" w:rsidRPr="00DE372A">
        <w:rPr>
          <w:rFonts w:eastAsia="Times New Roman" w:cs="Times New Roman"/>
          <w:bCs/>
          <w:i/>
          <w:lang w:eastAsia="fr-FR"/>
        </w:rPr>
        <w:t xml:space="preserve"> </w:t>
      </w:r>
      <w:r w:rsidR="00DE372A" w:rsidRPr="00AF71E3">
        <w:rPr>
          <w:rFonts w:eastAsia="Times New Roman" w:cs="Times New Roman"/>
          <w:bCs/>
          <w:i/>
          <w:lang w:eastAsia="fr-FR"/>
        </w:rPr>
        <w:t>les binationaux</w:t>
      </w:r>
      <w:r w:rsidR="00DE372A">
        <w:rPr>
          <w:rFonts w:eastAsia="Times New Roman" w:cs="Times New Roman"/>
          <w:bCs/>
          <w:i/>
          <w:lang w:eastAsia="fr-FR"/>
        </w:rPr>
        <w:t xml:space="preserve"> </w:t>
      </w:r>
      <w:r w:rsidR="00EF6D7B">
        <w:rPr>
          <w:rFonts w:eastAsia="Times New Roman" w:cs="Times New Roman"/>
          <w:bCs/>
          <w:i/>
          <w:lang w:eastAsia="fr-FR"/>
        </w:rPr>
        <w:t>(nul ne souhaite</w:t>
      </w:r>
      <w:r w:rsidR="00DE372A" w:rsidRPr="00DE372A">
        <w:rPr>
          <w:rFonts w:eastAsia="Times New Roman" w:cs="Times New Roman"/>
          <w:bCs/>
          <w:i/>
          <w:lang w:eastAsia="fr-FR"/>
        </w:rPr>
        <w:t xml:space="preserve"> </w:t>
      </w:r>
      <w:r w:rsidR="00DE372A">
        <w:rPr>
          <w:rFonts w:eastAsia="Times New Roman" w:cs="Times New Roman"/>
          <w:bCs/>
          <w:i/>
          <w:lang w:eastAsia="fr-FR"/>
        </w:rPr>
        <w:t xml:space="preserve">les </w:t>
      </w:r>
      <w:r w:rsidR="00DE372A">
        <w:rPr>
          <w:rFonts w:eastAsia="Times New Roman" w:cs="Times New Roman"/>
          <w:bCs/>
          <w:i/>
          <w:lang w:eastAsia="fr-FR"/>
        </w:rPr>
        <w:t>stigmatiser</w:t>
      </w:r>
      <w:r w:rsidR="00EF6D7B">
        <w:rPr>
          <w:rFonts w:eastAsia="Times New Roman" w:cs="Times New Roman"/>
          <w:bCs/>
          <w:i/>
          <w:lang w:eastAsia="fr-FR"/>
        </w:rPr>
        <w:t>).</w:t>
      </w:r>
      <w:r w:rsidR="007108E3" w:rsidRPr="00AF71E3">
        <w:rPr>
          <w:rFonts w:eastAsia="Times New Roman" w:cs="Times New Roman"/>
          <w:bCs/>
          <w:i/>
          <w:lang w:eastAsia="fr-FR"/>
        </w:rPr>
        <w:t xml:space="preserve"> </w:t>
      </w:r>
      <w:r w:rsidR="00EF6D7B">
        <w:rPr>
          <w:rFonts w:eastAsia="Times New Roman" w:cs="Times New Roman"/>
          <w:bCs/>
          <w:i/>
          <w:lang w:eastAsia="fr-FR"/>
        </w:rPr>
        <w:t xml:space="preserve">Ayant </w:t>
      </w:r>
      <w:r w:rsidRPr="00AF71E3">
        <w:rPr>
          <w:rFonts w:eastAsia="Times New Roman" w:cs="Times New Roman"/>
          <w:bCs/>
          <w:i/>
          <w:lang w:eastAsia="fr-FR"/>
        </w:rPr>
        <w:t>été conçu comme un geste symbolique mais non-</w:t>
      </w:r>
      <w:r w:rsidR="00392307" w:rsidRPr="00AF71E3">
        <w:rPr>
          <w:rFonts w:eastAsia="Times New Roman" w:cs="Times New Roman"/>
          <w:bCs/>
          <w:i/>
          <w:lang w:eastAsia="fr-FR"/>
        </w:rPr>
        <w:t>prioritaire</w:t>
      </w:r>
      <w:r w:rsidRPr="00AF71E3">
        <w:rPr>
          <w:rFonts w:eastAsia="Times New Roman" w:cs="Times New Roman"/>
          <w:bCs/>
          <w:i/>
          <w:lang w:eastAsia="fr-FR"/>
        </w:rPr>
        <w:t>,</w:t>
      </w:r>
      <w:r w:rsidR="00392307" w:rsidRPr="00AF71E3">
        <w:rPr>
          <w:rFonts w:eastAsia="Times New Roman" w:cs="Times New Roman"/>
          <w:bCs/>
          <w:i/>
          <w:lang w:eastAsia="fr-FR"/>
        </w:rPr>
        <w:t xml:space="preserve"> suspension de l’ordre du jour parlementaire et continuation de </w:t>
      </w:r>
      <w:r w:rsidRPr="00AF71E3">
        <w:rPr>
          <w:rFonts w:eastAsia="Times New Roman" w:cs="Times New Roman"/>
          <w:bCs/>
          <w:i/>
          <w:lang w:eastAsia="fr-FR"/>
        </w:rPr>
        <w:t>l’instruction</w:t>
      </w:r>
      <w:r w:rsidR="00392307" w:rsidRPr="00AF71E3">
        <w:rPr>
          <w:rFonts w:eastAsia="Times New Roman" w:cs="Times New Roman"/>
          <w:bCs/>
          <w:i/>
          <w:lang w:eastAsia="fr-FR"/>
        </w:rPr>
        <w:t xml:space="preserve"> des voies </w:t>
      </w:r>
      <w:r w:rsidRPr="00AF71E3">
        <w:rPr>
          <w:rFonts w:eastAsia="Times New Roman" w:cs="Times New Roman"/>
          <w:bCs/>
          <w:i/>
          <w:lang w:eastAsia="fr-FR"/>
        </w:rPr>
        <w:t xml:space="preserve">et moyens en dehors du </w:t>
      </w:r>
      <w:r w:rsidRPr="00AF71E3">
        <w:rPr>
          <w:rFonts w:eastAsia="Times New Roman" w:cs="Times New Roman"/>
          <w:bCs/>
          <w:i/>
          <w:lang w:eastAsia="fr-FR"/>
        </w:rPr>
        <w:t>travail gouvernemental</w:t>
      </w:r>
      <w:r w:rsidR="00DE372A">
        <w:rPr>
          <w:rFonts w:eastAsia="Times New Roman" w:cs="Times New Roman"/>
          <w:bCs/>
          <w:i/>
          <w:lang w:eastAsia="fr-FR"/>
        </w:rPr>
        <w:t>,</w:t>
      </w:r>
      <w:r w:rsidRPr="00AF71E3">
        <w:rPr>
          <w:rFonts w:eastAsia="Times New Roman" w:cs="Times New Roman"/>
          <w:bCs/>
          <w:i/>
          <w:lang w:eastAsia="fr-FR"/>
        </w:rPr>
        <w:t xml:space="preserve"> et</w:t>
      </w:r>
      <w:r w:rsidR="00392307" w:rsidRPr="00AF71E3">
        <w:rPr>
          <w:rFonts w:eastAsia="Times New Roman" w:cs="Times New Roman"/>
          <w:bCs/>
          <w:i/>
          <w:lang w:eastAsia="fr-FR"/>
        </w:rPr>
        <w:t xml:space="preserve"> sans</w:t>
      </w:r>
      <w:r w:rsidRPr="00AF71E3">
        <w:rPr>
          <w:rFonts w:eastAsia="Times New Roman" w:cs="Times New Roman"/>
          <w:bCs/>
          <w:i/>
          <w:lang w:eastAsia="fr-FR"/>
        </w:rPr>
        <w:t xml:space="preserve"> e</w:t>
      </w:r>
      <w:r w:rsidR="00AF71E3">
        <w:rPr>
          <w:rFonts w:eastAsia="Times New Roman" w:cs="Times New Roman"/>
          <w:bCs/>
          <w:i/>
          <w:lang w:eastAsia="fr-FR"/>
        </w:rPr>
        <w:t>n</w:t>
      </w:r>
      <w:r w:rsidR="00392307" w:rsidRPr="00AF71E3">
        <w:rPr>
          <w:rFonts w:eastAsia="Times New Roman" w:cs="Times New Roman"/>
          <w:bCs/>
          <w:i/>
          <w:lang w:eastAsia="fr-FR"/>
        </w:rPr>
        <w:t xml:space="preserve"> perturber le</w:t>
      </w:r>
      <w:r w:rsidRPr="00AF71E3">
        <w:rPr>
          <w:rFonts w:eastAsia="Times New Roman" w:cs="Times New Roman"/>
          <w:bCs/>
          <w:i/>
          <w:lang w:eastAsia="fr-FR"/>
        </w:rPr>
        <w:t xml:space="preserve"> cours</w:t>
      </w:r>
      <w:r w:rsidR="00392307" w:rsidRPr="00AF71E3">
        <w:rPr>
          <w:rFonts w:eastAsia="Times New Roman" w:cs="Times New Roman"/>
          <w:bCs/>
          <w:i/>
          <w:lang w:eastAsia="fr-FR"/>
        </w:rPr>
        <w:t>.</w:t>
      </w:r>
      <w:r w:rsidR="00DE372A">
        <w:rPr>
          <w:rFonts w:eastAsia="Times New Roman" w:cs="Times New Roman"/>
          <w:bCs/>
          <w:i/>
          <w:lang w:eastAsia="fr-FR"/>
        </w:rPr>
        <w:t xml:space="preserve"> Il s’agit d’</w:t>
      </w:r>
      <w:r w:rsidR="00DE372A" w:rsidRPr="00DE372A">
        <w:rPr>
          <w:rFonts w:eastAsia="Times New Roman" w:cs="Times New Roman"/>
          <w:bCs/>
          <w:i/>
          <w:lang w:eastAsia="fr-FR"/>
        </w:rPr>
        <w:t xml:space="preserve">un pan essentiel </w:t>
      </w:r>
      <w:r w:rsidR="00DE372A">
        <w:rPr>
          <w:rFonts w:eastAsia="Times New Roman" w:cs="Times New Roman"/>
          <w:bCs/>
          <w:i/>
          <w:lang w:eastAsia="fr-FR"/>
        </w:rPr>
        <w:t>du modèle républicain ;</w:t>
      </w:r>
      <w:bookmarkStart w:id="0" w:name="_GoBack"/>
      <w:bookmarkEnd w:id="0"/>
      <w:r w:rsidR="00DE372A">
        <w:rPr>
          <w:rFonts w:eastAsia="Times New Roman" w:cs="Times New Roman"/>
          <w:bCs/>
          <w:i/>
          <w:lang w:eastAsia="fr-FR"/>
        </w:rPr>
        <w:t xml:space="preserve"> </w:t>
      </w:r>
      <w:r w:rsidR="00DE372A" w:rsidRPr="00DE372A">
        <w:rPr>
          <w:rFonts w:eastAsia="Times New Roman" w:cs="Times New Roman"/>
          <w:bCs/>
          <w:i/>
          <w:lang w:eastAsia="fr-FR"/>
        </w:rPr>
        <w:t>qui justifie de ne le faire évoluer que si les conditions du plus large consensus sont réunies</w:t>
      </w:r>
      <w:r w:rsidR="00DE372A">
        <w:rPr>
          <w:rFonts w:eastAsia="Times New Roman" w:cs="Times New Roman"/>
          <w:bCs/>
          <w:i/>
          <w:lang w:eastAsia="fr-FR"/>
        </w:rPr>
        <w:t>.</w:t>
      </w:r>
    </w:p>
    <w:p w:rsidR="006F585C" w:rsidRDefault="006F585C" w:rsidP="00EF6D7B">
      <w:pPr>
        <w:pStyle w:val="Paragraphedeliste"/>
        <w:spacing w:after="0" w:line="276" w:lineRule="auto"/>
        <w:ind w:left="0"/>
        <w:contextualSpacing w:val="0"/>
        <w:jc w:val="both"/>
        <w:rPr>
          <w:rFonts w:eastAsia="Times New Roman" w:cs="Times New Roman"/>
          <w:bCs/>
          <w:lang w:eastAsia="fr-FR"/>
        </w:rPr>
      </w:pPr>
    </w:p>
    <w:p w:rsidR="00392307" w:rsidRPr="00FD348C" w:rsidRDefault="00812610" w:rsidP="00EF6D7B">
      <w:pPr>
        <w:pStyle w:val="Paragraphedeliste"/>
        <w:numPr>
          <w:ilvl w:val="0"/>
          <w:numId w:val="1"/>
        </w:numPr>
        <w:spacing w:after="0" w:line="276" w:lineRule="auto"/>
        <w:ind w:left="0" w:hanging="284"/>
        <w:contextualSpacing w:val="0"/>
        <w:jc w:val="both"/>
        <w:rPr>
          <w:rFonts w:eastAsia="Times New Roman" w:cs="Times New Roman"/>
          <w:bCs/>
          <w:lang w:eastAsia="fr-FR"/>
        </w:rPr>
      </w:pPr>
      <w:r w:rsidRPr="006F585C">
        <w:rPr>
          <w:rFonts w:eastAsia="Times New Roman" w:cs="Times New Roman"/>
          <w:b/>
          <w:bCs/>
          <w:lang w:eastAsia="fr-FR"/>
        </w:rPr>
        <w:t>A l’inverse, une décision de continuation pourrait être la moins mise en scène possible</w:t>
      </w:r>
      <w:r>
        <w:rPr>
          <w:rFonts w:eastAsia="Times New Roman" w:cs="Times New Roman"/>
          <w:bCs/>
          <w:lang w:eastAsia="fr-FR"/>
        </w:rPr>
        <w:t xml:space="preserve">, </w:t>
      </w:r>
      <w:r w:rsidR="006F585C">
        <w:rPr>
          <w:rFonts w:eastAsia="Times New Roman" w:cs="Times New Roman"/>
          <w:bCs/>
          <w:lang w:eastAsia="fr-FR"/>
        </w:rPr>
        <w:t xml:space="preserve">pour éviter de redonner </w:t>
      </w:r>
      <w:r w:rsidR="006F585C" w:rsidRPr="006F585C">
        <w:rPr>
          <w:rFonts w:eastAsia="Times New Roman" w:cs="Times New Roman"/>
          <w:lang w:eastAsia="fr-FR"/>
        </w:rPr>
        <w:t>le</w:t>
      </w:r>
      <w:r w:rsidR="006F585C">
        <w:rPr>
          <w:rFonts w:eastAsia="Times New Roman" w:cs="Times New Roman"/>
          <w:bCs/>
          <w:lang w:eastAsia="fr-FR"/>
        </w:rPr>
        <w:t xml:space="preserve"> sentiment que la classe politique se déchire (continuation de la navette sans inscription à ce stade à l’ordre du jour ?).</w:t>
      </w:r>
    </w:p>
    <w:p w:rsidR="00DC4F96" w:rsidRPr="00DC4F96" w:rsidRDefault="00DC4F96" w:rsidP="00EF6D7B">
      <w:pPr>
        <w:spacing w:after="0" w:line="276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AD62FD" w:rsidRDefault="00DC4F96" w:rsidP="00220749">
      <w:pPr>
        <w:tabs>
          <w:tab w:val="left" w:pos="6804"/>
        </w:tabs>
        <w:spacing w:before="120" w:after="0" w:line="264" w:lineRule="auto"/>
        <w:jc w:val="both"/>
      </w:pPr>
      <w:r w:rsidRPr="00AD62FD">
        <w:tab/>
        <w:t>Adrien ABECASSIS</w:t>
      </w:r>
    </w:p>
    <w:sectPr w:rsidR="00666A52" w:rsidRPr="00AD62FD" w:rsidSect="00283BC4">
      <w:footerReference w:type="default" r:id="rId9"/>
      <w:pgSz w:w="11906" w:h="16838" w:code="9"/>
      <w:pgMar w:top="794" w:right="1134" w:bottom="79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DE372A">
          <w:rPr>
            <w:rFonts w:asciiTheme="majorHAnsi" w:hAnsiTheme="majorHAnsi"/>
            <w:noProof/>
          </w:rPr>
          <w:t>1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9B77E4"/>
    <w:multiLevelType w:val="hybridMultilevel"/>
    <w:tmpl w:val="7DC0985A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20549"/>
    <w:rsid w:val="000428D0"/>
    <w:rsid w:val="00075454"/>
    <w:rsid w:val="00106273"/>
    <w:rsid w:val="00170CDF"/>
    <w:rsid w:val="001C3A46"/>
    <w:rsid w:val="001E011A"/>
    <w:rsid w:val="001F00B4"/>
    <w:rsid w:val="00220749"/>
    <w:rsid w:val="00254AF9"/>
    <w:rsid w:val="00256126"/>
    <w:rsid w:val="00283BC4"/>
    <w:rsid w:val="002A10FB"/>
    <w:rsid w:val="002A4CFA"/>
    <w:rsid w:val="002C35A0"/>
    <w:rsid w:val="003318A5"/>
    <w:rsid w:val="0034091E"/>
    <w:rsid w:val="00360DF8"/>
    <w:rsid w:val="00392307"/>
    <w:rsid w:val="003B4D95"/>
    <w:rsid w:val="003C2021"/>
    <w:rsid w:val="003C2241"/>
    <w:rsid w:val="003E11E4"/>
    <w:rsid w:val="00411895"/>
    <w:rsid w:val="0047173E"/>
    <w:rsid w:val="004B090F"/>
    <w:rsid w:val="004C7F20"/>
    <w:rsid w:val="00516CCD"/>
    <w:rsid w:val="0052196C"/>
    <w:rsid w:val="0055187F"/>
    <w:rsid w:val="00586FE8"/>
    <w:rsid w:val="005874F5"/>
    <w:rsid w:val="005B5AB2"/>
    <w:rsid w:val="006262CF"/>
    <w:rsid w:val="00662A07"/>
    <w:rsid w:val="00666A52"/>
    <w:rsid w:val="00685CD7"/>
    <w:rsid w:val="0068623E"/>
    <w:rsid w:val="006862CF"/>
    <w:rsid w:val="0069223A"/>
    <w:rsid w:val="00694D9D"/>
    <w:rsid w:val="006C2553"/>
    <w:rsid w:val="006F585C"/>
    <w:rsid w:val="006F65B7"/>
    <w:rsid w:val="00700A7A"/>
    <w:rsid w:val="007108E3"/>
    <w:rsid w:val="0073120B"/>
    <w:rsid w:val="0075560A"/>
    <w:rsid w:val="007653E5"/>
    <w:rsid w:val="007B49A8"/>
    <w:rsid w:val="007D49EB"/>
    <w:rsid w:val="007E4E1A"/>
    <w:rsid w:val="00812610"/>
    <w:rsid w:val="008A621C"/>
    <w:rsid w:val="00925C7B"/>
    <w:rsid w:val="00930969"/>
    <w:rsid w:val="00953A25"/>
    <w:rsid w:val="009750F0"/>
    <w:rsid w:val="009E0CE2"/>
    <w:rsid w:val="009F26C5"/>
    <w:rsid w:val="00A54038"/>
    <w:rsid w:val="00AA1611"/>
    <w:rsid w:val="00AC761B"/>
    <w:rsid w:val="00AD62FD"/>
    <w:rsid w:val="00AE47FF"/>
    <w:rsid w:val="00AF71E3"/>
    <w:rsid w:val="00AF7E86"/>
    <w:rsid w:val="00B54356"/>
    <w:rsid w:val="00B61EEC"/>
    <w:rsid w:val="00C001C0"/>
    <w:rsid w:val="00C02E21"/>
    <w:rsid w:val="00C2457E"/>
    <w:rsid w:val="00C46E23"/>
    <w:rsid w:val="00C727A0"/>
    <w:rsid w:val="00CA724B"/>
    <w:rsid w:val="00D24780"/>
    <w:rsid w:val="00D57EEB"/>
    <w:rsid w:val="00D76165"/>
    <w:rsid w:val="00D80D0A"/>
    <w:rsid w:val="00DC4F96"/>
    <w:rsid w:val="00DE372A"/>
    <w:rsid w:val="00E458DF"/>
    <w:rsid w:val="00E5402F"/>
    <w:rsid w:val="00EF6D7B"/>
    <w:rsid w:val="00F12AFD"/>
    <w:rsid w:val="00F247B2"/>
    <w:rsid w:val="00F41A2A"/>
    <w:rsid w:val="00F4637D"/>
    <w:rsid w:val="00FA45F3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A554-1011-4EED-BCC6-513A16ED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9</cp:revision>
  <dcterms:created xsi:type="dcterms:W3CDTF">2016-03-21T15:04:00Z</dcterms:created>
  <dcterms:modified xsi:type="dcterms:W3CDTF">2016-03-21T17:27:00Z</dcterms:modified>
</cp:coreProperties>
</file>