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C52023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C0558B">
        <w:rPr>
          <w:rFonts w:ascii="Times New Roman" w:eastAsia="Times New Roman" w:hAnsi="Times New Roman"/>
          <w:color w:val="0D0D0D"/>
          <w:sz w:val="23"/>
          <w:szCs w:val="23"/>
        </w:rPr>
        <w:t>2</w:t>
      </w:r>
      <w:r w:rsidR="004041F3">
        <w:rPr>
          <w:rFonts w:ascii="Times New Roman" w:eastAsia="Times New Roman" w:hAnsi="Times New Roman"/>
          <w:color w:val="0D0D0D"/>
          <w:sz w:val="23"/>
          <w:szCs w:val="23"/>
        </w:rPr>
        <w:t>9</w:t>
      </w:r>
      <w:r w:rsidR="002F244A">
        <w:rPr>
          <w:rFonts w:ascii="Times New Roman" w:eastAsia="Times New Roman" w:hAnsi="Times New Roman"/>
          <w:color w:val="0D0D0D"/>
          <w:sz w:val="23"/>
          <w:szCs w:val="23"/>
        </w:rPr>
        <w:t xml:space="preserve"> juin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673BC6" w:rsidRDefault="00673BC6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D5F0B" w:rsidRDefault="001D5F0B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645F4A" w:rsidRDefault="00645F4A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Default="004C7F20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1D5F0B" w:rsidRPr="00B040FA" w:rsidRDefault="001D5F0B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A967AC" w:rsidRPr="00CE7CD3" w:rsidRDefault="004C7F20" w:rsidP="003F168A">
      <w:pPr>
        <w:spacing w:before="120" w:after="0" w:line="257" w:lineRule="auto"/>
        <w:jc w:val="both"/>
        <w:rPr>
          <w:rFonts w:ascii="Arial Narrow" w:hAnsi="Arial Narrow"/>
          <w:b/>
          <w:i/>
          <w:u w:val="single"/>
        </w:rPr>
      </w:pPr>
      <w:r w:rsidRPr="00CE7CD3">
        <w:rPr>
          <w:rFonts w:ascii="Arial Narrow" w:hAnsi="Arial Narrow"/>
          <w:b/>
          <w:i/>
          <w:smallCaps/>
        </w:rPr>
        <w:t>Objet</w:t>
      </w:r>
      <w:r w:rsidRPr="00CE7CD3">
        <w:rPr>
          <w:rFonts w:ascii="Arial Narrow" w:hAnsi="Arial Narrow"/>
          <w:b/>
          <w:i/>
        </w:rPr>
        <w:t xml:space="preserve"> : </w:t>
      </w:r>
      <w:r w:rsidR="008F4A7F">
        <w:rPr>
          <w:rFonts w:ascii="Arial Narrow" w:hAnsi="Arial Narrow" w:cstheme="minorHAnsi"/>
          <w:b/>
          <w:i/>
          <w:u w:val="single"/>
        </w:rPr>
        <w:t>Quantification r</w:t>
      </w:r>
      <w:r w:rsidR="00021B46" w:rsidRPr="00CE7CD3">
        <w:rPr>
          <w:rFonts w:ascii="Arial Narrow" w:hAnsi="Arial Narrow" w:cstheme="minorHAnsi"/>
          <w:b/>
          <w:i/>
          <w:u w:val="single"/>
        </w:rPr>
        <w:t>éactions</w:t>
      </w:r>
      <w:r w:rsidR="00D47DC5" w:rsidRPr="00CE7CD3">
        <w:rPr>
          <w:rFonts w:ascii="Arial Narrow" w:hAnsi="Arial Narrow" w:cstheme="minorHAnsi"/>
          <w:b/>
          <w:i/>
          <w:u w:val="single"/>
        </w:rPr>
        <w:t xml:space="preserve"> </w:t>
      </w:r>
      <w:r w:rsidR="00021B46" w:rsidRPr="00CE7CD3">
        <w:rPr>
          <w:rFonts w:ascii="Arial Narrow" w:hAnsi="Arial Narrow" w:cstheme="minorHAnsi"/>
          <w:b/>
          <w:i/>
          <w:u w:val="single"/>
        </w:rPr>
        <w:t>post-</w:t>
      </w:r>
      <w:proofErr w:type="spellStart"/>
      <w:r w:rsidR="00021B46" w:rsidRPr="00CE7CD3">
        <w:rPr>
          <w:rFonts w:ascii="Arial Narrow" w:hAnsi="Arial Narrow" w:cstheme="minorHAnsi"/>
          <w:b/>
          <w:i/>
          <w:u w:val="single"/>
        </w:rPr>
        <w:t>Brexit</w:t>
      </w:r>
      <w:proofErr w:type="spellEnd"/>
    </w:p>
    <w:p w:rsidR="001661E5" w:rsidRPr="00CE7CD3" w:rsidRDefault="001661E5" w:rsidP="001661E5">
      <w:pPr>
        <w:spacing w:before="120" w:after="0" w:line="269" w:lineRule="auto"/>
        <w:jc w:val="both"/>
        <w:rPr>
          <w:rFonts w:ascii="Arial Narrow" w:eastAsia="Times New Roman" w:hAnsi="Arial Narrow" w:cstheme="minorHAnsi"/>
          <w:shd w:val="clear" w:color="auto" w:fill="FFFFFF"/>
          <w:lang w:eastAsia="fr-FR"/>
        </w:rPr>
      </w:pPr>
    </w:p>
    <w:p w:rsidR="00AC7D9A" w:rsidRPr="00AC7D9A" w:rsidRDefault="00AC7D9A" w:rsidP="00AC7D9A">
      <w:pPr>
        <w:pStyle w:val="Paragraphedeliste"/>
        <w:spacing w:before="120" w:after="0" w:line="276" w:lineRule="auto"/>
        <w:ind w:left="0"/>
        <w:contextualSpacing w:val="0"/>
        <w:jc w:val="both"/>
        <w:rPr>
          <w:rFonts w:eastAsia="Times New Roman" w:cstheme="minorHAnsi"/>
          <w:color w:val="0D0D0D" w:themeColor="text1" w:themeTint="F2"/>
          <w:shd w:val="clear" w:color="auto" w:fill="FFFFFF"/>
          <w:lang w:eastAsia="fr-FR"/>
        </w:rPr>
      </w:pPr>
      <w:proofErr w:type="spellStart"/>
      <w:r>
        <w:rPr>
          <w:rFonts w:ascii="Arial Narrow" w:hAnsi="Arial Narrow" w:cs="Arial"/>
          <w:iCs/>
          <w:color w:val="222222"/>
          <w:shd w:val="clear" w:color="auto" w:fill="FFFFFF"/>
        </w:rPr>
        <w:t>L’Ifop</w:t>
      </w:r>
      <w:proofErr w:type="spellEnd"/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a repris et quantifié les réactions spontanées des Français au </w:t>
      </w:r>
      <w:proofErr w:type="spellStart"/>
      <w:r>
        <w:rPr>
          <w:rFonts w:ascii="Arial Narrow" w:hAnsi="Arial Narrow" w:cs="Arial"/>
          <w:iCs/>
          <w:color w:val="222222"/>
          <w:shd w:val="clear" w:color="auto" w:fill="FFFFFF"/>
        </w:rPr>
        <w:t>Brexit</w:t>
      </w:r>
      <w:proofErr w:type="spellEnd"/>
      <w:r>
        <w:rPr>
          <w:rFonts w:ascii="Arial Narrow" w:hAnsi="Arial Narrow" w:cs="Arial"/>
          <w:iCs/>
          <w:color w:val="222222"/>
          <w:shd w:val="clear" w:color="auto" w:fill="FFFFFF"/>
        </w:rPr>
        <w:t>.</w:t>
      </w:r>
    </w:p>
    <w:p w:rsidR="00F80489" w:rsidRPr="00BB1EB1" w:rsidRDefault="001D5F0B" w:rsidP="009033C8">
      <w:pPr>
        <w:pStyle w:val="Paragraphedeliste"/>
        <w:numPr>
          <w:ilvl w:val="0"/>
          <w:numId w:val="23"/>
        </w:numPr>
        <w:spacing w:before="240" w:after="0" w:line="276" w:lineRule="auto"/>
        <w:ind w:left="0" w:hanging="284"/>
        <w:contextualSpacing w:val="0"/>
        <w:jc w:val="both"/>
        <w:rPr>
          <w:rFonts w:eastAsia="Times New Roman" w:cstheme="minorHAnsi"/>
          <w:color w:val="0D0D0D" w:themeColor="text1" w:themeTint="F2"/>
          <w:shd w:val="clear" w:color="auto" w:fill="FFFFFF"/>
          <w:lang w:eastAsia="fr-FR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>C</w:t>
      </w:r>
      <w:r w:rsidR="00AC7D9A">
        <w:rPr>
          <w:rFonts w:ascii="Arial Narrow" w:hAnsi="Arial Narrow" w:cs="Arial"/>
          <w:iCs/>
          <w:color w:val="222222"/>
          <w:shd w:val="clear" w:color="auto" w:fill="FFFFFF"/>
        </w:rPr>
        <w:t xml:space="preserve">lairement, ce qui intéresse les gens </w:t>
      </w:r>
      <w:r w:rsidR="00AC7D9A" w:rsidRPr="004041F3">
        <w:rPr>
          <w:rFonts w:ascii="Arial Narrow" w:hAnsi="Arial Narrow" w:cs="Arial"/>
          <w:b/>
          <w:iCs/>
          <w:color w:val="222222"/>
          <w:shd w:val="clear" w:color="auto" w:fill="FFFFFF"/>
        </w:rPr>
        <w:t>n’est pas le Royaume-Uni ni les modalités de départ, mais nous et le devenir de l’Europe</w:t>
      </w:r>
      <w:r w:rsidR="00AC7D9A">
        <w:rPr>
          <w:rFonts w:ascii="Arial Narrow" w:hAnsi="Arial Narrow" w:cs="Arial"/>
          <w:iCs/>
          <w:color w:val="222222"/>
          <w:shd w:val="clear" w:color="auto" w:fill="FFFFFF"/>
        </w:rPr>
        <w:t>.</w:t>
      </w:r>
    </w:p>
    <w:p w:rsidR="00AC7D9A" w:rsidRDefault="00AC7D9A" w:rsidP="00AC7D9A">
      <w:pPr>
        <w:pStyle w:val="Paragraphedeliste"/>
        <w:numPr>
          <w:ilvl w:val="0"/>
          <w:numId w:val="21"/>
        </w:numPr>
        <w:spacing w:before="240" w:after="0" w:line="276" w:lineRule="auto"/>
        <w:ind w:left="284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AC7D9A">
        <w:rPr>
          <w:rFonts w:ascii="Arial Narrow" w:hAnsi="Arial Narrow" w:cs="Arial"/>
          <w:iCs/>
          <w:color w:val="222222"/>
          <w:shd w:val="clear" w:color="auto" w:fill="FFFFFF"/>
        </w:rPr>
        <w:t>Il n’y a</w:t>
      </w:r>
      <w:r w:rsidR="001678B3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Pr="004041F3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aucune référence à la procédure de </w:t>
      </w:r>
      <w:r w:rsidR="004041F3">
        <w:rPr>
          <w:rFonts w:ascii="Arial Narrow" w:hAnsi="Arial Narrow" w:cs="Arial"/>
          <w:b/>
          <w:iCs/>
          <w:color w:val="222222"/>
          <w:shd w:val="clear" w:color="auto" w:fill="FFFFFF"/>
        </w:rPr>
        <w:t>départ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 ou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au calendrier</w:t>
      </w:r>
      <w:r w:rsidR="001678B3" w:rsidRPr="001678B3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1678B3">
        <w:rPr>
          <w:rFonts w:ascii="Arial Narrow" w:hAnsi="Arial Narrow" w:cs="Arial"/>
          <w:iCs/>
          <w:color w:val="222222"/>
          <w:shd w:val="clear" w:color="auto" w:fill="FFFFFF"/>
        </w:rPr>
        <w:t>à ce stade</w:t>
      </w:r>
      <w:r>
        <w:rPr>
          <w:rFonts w:ascii="Arial Narrow" w:hAnsi="Arial Narrow" w:cs="Arial"/>
          <w:iCs/>
          <w:color w:val="222222"/>
          <w:shd w:val="clear" w:color="auto" w:fill="FFFFFF"/>
        </w:rPr>
        <w:t>, malgré l’angle médiatique quasi-unique</w:t>
      </w:r>
      <w:r w:rsidRPr="00AC7D9A">
        <w:rPr>
          <w:rFonts w:ascii="Arial Narrow" w:hAnsi="Arial Narrow" w:cs="Arial"/>
          <w:iCs/>
          <w:color w:val="222222"/>
          <w:shd w:val="clear" w:color="auto" w:fill="FFFFFF"/>
        </w:rPr>
        <w:t>.</w:t>
      </w:r>
    </w:p>
    <w:p w:rsidR="00AC7D9A" w:rsidRDefault="00AC7D9A" w:rsidP="00AC7D9A">
      <w:pPr>
        <w:pStyle w:val="Paragraphedeliste"/>
        <w:numPr>
          <w:ilvl w:val="0"/>
          <w:numId w:val="21"/>
        </w:numPr>
        <w:spacing w:before="240" w:after="0" w:line="276" w:lineRule="auto"/>
        <w:ind w:left="284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Il n’y a </w:t>
      </w:r>
      <w:r w:rsidRPr="004041F3">
        <w:rPr>
          <w:rFonts w:ascii="Arial Narrow" w:hAnsi="Arial Narrow" w:cs="Arial"/>
          <w:b/>
          <w:iCs/>
          <w:color w:val="222222"/>
          <w:shd w:val="clear" w:color="auto" w:fill="FFFFFF"/>
        </w:rPr>
        <w:t>pas plus de recherches des responsabilités du côté Britannique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(Cameron a-t-il joué avec le feu, etc. ?)</w:t>
      </w:r>
    </w:p>
    <w:p w:rsidR="00AC7D9A" w:rsidRPr="00AC7D9A" w:rsidRDefault="00AC7D9A" w:rsidP="00AC7D9A">
      <w:pPr>
        <w:pStyle w:val="Paragraphedeliste"/>
        <w:numPr>
          <w:ilvl w:val="0"/>
          <w:numId w:val="21"/>
        </w:numPr>
        <w:spacing w:before="240" w:after="0" w:line="276" w:lineRule="auto"/>
        <w:ind w:left="284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>Les seuls commentaires concernant le Royaume-Uni (</w:t>
      </w:r>
      <w:r w:rsidRPr="000A1496">
        <w:rPr>
          <w:rFonts w:ascii="Arial Narrow" w:hAnsi="Arial Narrow" w:cs="Arial"/>
          <w:b/>
          <w:iCs/>
          <w:color w:val="222222"/>
          <w:shd w:val="clear" w:color="auto" w:fill="FFFFFF"/>
        </w:rPr>
        <w:t>12%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seulement des citations) sont pour noter, souvent sur un mode factuel, qu’il </w:t>
      </w:r>
      <w:r w:rsidRPr="004041F3">
        <w:rPr>
          <w:rFonts w:ascii="Arial Narrow" w:hAnsi="Arial Narrow" w:cs="Arial"/>
          <w:b/>
          <w:iCs/>
          <w:color w:val="222222"/>
          <w:shd w:val="clear" w:color="auto" w:fill="FFFFFF"/>
        </w:rPr>
        <w:t>était « </w:t>
      </w:r>
      <w:r w:rsidRPr="004041F3">
        <w:rPr>
          <w:rFonts w:ascii="Arial Narrow" w:hAnsi="Arial Narrow" w:cs="Arial"/>
          <w:b/>
          <w:i/>
          <w:iCs/>
          <w:color w:val="222222"/>
          <w:shd w:val="clear" w:color="auto" w:fill="FFFFFF"/>
        </w:rPr>
        <w:t>déjà à part</w:t>
      </w:r>
      <w:r w:rsidRPr="004041F3">
        <w:rPr>
          <w:rFonts w:ascii="Arial Narrow" w:hAnsi="Arial Narrow" w:cs="Arial"/>
          <w:b/>
          <w:iCs/>
          <w:color w:val="222222"/>
          <w:shd w:val="clear" w:color="auto" w:fill="FFFFFF"/>
        </w:rPr>
        <w:t> »</w:t>
      </w:r>
      <w:r w:rsidR="007E5426">
        <w:rPr>
          <w:rFonts w:ascii="Arial Narrow" w:hAnsi="Arial Narrow" w:cs="Arial"/>
          <w:iCs/>
          <w:color w:val="222222"/>
          <w:shd w:val="clear" w:color="auto" w:fill="FFFFFF"/>
        </w:rPr>
        <w:t xml:space="preserve"> en Europe, membre sans y être vraiment, </w:t>
      </w:r>
      <w:r w:rsidR="007E5426" w:rsidRPr="004041F3">
        <w:rPr>
          <w:rFonts w:ascii="Arial Narrow" w:hAnsi="Arial Narrow" w:cs="Arial"/>
          <w:iCs/>
          <w:color w:val="222222"/>
          <w:shd w:val="clear" w:color="auto" w:fill="FFFFFF"/>
        </w:rPr>
        <w:t>et avait des désaccords</w:t>
      </w:r>
      <w:r w:rsidR="007E5426">
        <w:rPr>
          <w:rFonts w:ascii="Arial Narrow" w:hAnsi="Arial Narrow" w:cs="Arial"/>
          <w:iCs/>
          <w:color w:val="222222"/>
          <w:shd w:val="clear" w:color="auto" w:fill="FFFFFF"/>
        </w:rPr>
        <w:t xml:space="preserve"> avec l’UE.</w:t>
      </w:r>
    </w:p>
    <w:p w:rsidR="000A1496" w:rsidRDefault="000A1496" w:rsidP="000A1496">
      <w:pPr>
        <w:pStyle w:val="Paragraphedeliste"/>
        <w:numPr>
          <w:ilvl w:val="0"/>
          <w:numId w:val="23"/>
        </w:numPr>
        <w:spacing w:before="240" w:after="0" w:line="276" w:lineRule="auto"/>
        <w:ind w:left="0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Les </w:t>
      </w:r>
      <w:r w:rsidRPr="000A1496">
        <w:rPr>
          <w:rFonts w:ascii="Arial Narrow" w:hAnsi="Arial Narrow" w:cs="Arial"/>
          <w:b/>
          <w:iCs/>
          <w:color w:val="222222"/>
          <w:shd w:val="clear" w:color="auto" w:fill="FFFFFF"/>
        </w:rPr>
        <w:t>inquiétudes économiques</w:t>
      </w:r>
      <w:r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(nouvelle crise financière, coût pour le contribuable, …) sont 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pour leur part 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réelles mais restent contenues : </w:t>
      </w:r>
      <w:r w:rsidRPr="000A1496">
        <w:rPr>
          <w:rFonts w:ascii="Arial Narrow" w:hAnsi="Arial Narrow" w:cs="Arial"/>
          <w:b/>
          <w:iCs/>
          <w:color w:val="222222"/>
          <w:shd w:val="clear" w:color="auto" w:fill="FFFFFF"/>
        </w:rPr>
        <w:t>17%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des citations y font référence. </w:t>
      </w:r>
    </w:p>
    <w:p w:rsidR="000A1496" w:rsidRPr="000A1496" w:rsidRDefault="000A1496" w:rsidP="001D5F0B">
      <w:pPr>
        <w:spacing w:before="120" w:after="0" w:line="276" w:lineRule="auto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S’y ajoutent des </w:t>
      </w:r>
      <w:r w:rsidRPr="000A1496">
        <w:rPr>
          <w:rFonts w:ascii="Arial Narrow" w:hAnsi="Arial Narrow" w:cs="Arial"/>
          <w:b/>
          <w:iCs/>
          <w:color w:val="222222"/>
          <w:shd w:val="clear" w:color="auto" w:fill="FFFFFF"/>
        </w:rPr>
        <w:t>inquiétudes pratiques (6%)</w:t>
      </w:r>
      <w:r>
        <w:rPr>
          <w:rFonts w:ascii="Arial Narrow" w:hAnsi="Arial Narrow" w:cs="Arial"/>
          <w:iCs/>
          <w:color w:val="222222"/>
          <w:shd w:val="clear" w:color="auto" w:fill="FFFFFF"/>
        </w:rPr>
        <w:t>, essentiellement de personnes concernées, s’interrogeant sur les séjours, les visas, les échanges de travailleurs et d’étudiants etc.</w:t>
      </w:r>
    </w:p>
    <w:p w:rsidR="003D2C3A" w:rsidRDefault="007E5426" w:rsidP="00844D4D">
      <w:pPr>
        <w:pStyle w:val="Paragraphedeliste"/>
        <w:numPr>
          <w:ilvl w:val="0"/>
          <w:numId w:val="23"/>
        </w:numPr>
        <w:spacing w:before="240" w:after="0" w:line="276" w:lineRule="auto"/>
        <w:ind w:left="0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4041F3">
        <w:rPr>
          <w:rFonts w:ascii="Arial Narrow" w:hAnsi="Arial Narrow" w:cs="Arial"/>
          <w:b/>
          <w:iCs/>
          <w:color w:val="222222"/>
          <w:shd w:val="clear" w:color="auto" w:fill="FFFFFF"/>
        </w:rPr>
        <w:t>Le principal sentiment</w:t>
      </w:r>
      <w:r w:rsidRP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, exprimé par </w:t>
      </w:r>
      <w:r w:rsidRPr="004041F3">
        <w:rPr>
          <w:rFonts w:ascii="Arial Narrow" w:hAnsi="Arial Narrow" w:cs="Arial"/>
          <w:b/>
          <w:iCs/>
          <w:color w:val="222222"/>
          <w:shd w:val="clear" w:color="auto" w:fill="FFFFFF"/>
        </w:rPr>
        <w:t>près d’un tiers des Français</w:t>
      </w:r>
      <w:r w:rsidRPr="001D5F0B">
        <w:rPr>
          <w:rFonts w:ascii="Arial Narrow" w:hAnsi="Arial Narrow" w:cs="Arial"/>
          <w:iCs/>
          <w:color w:val="222222"/>
          <w:shd w:val="clear" w:color="auto" w:fill="FFFFFF"/>
        </w:rPr>
        <w:t>, est celui</w:t>
      </w:r>
      <w:r w:rsidRPr="004041F3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d’une Europe en danger</w:t>
      </w:r>
      <w:r>
        <w:rPr>
          <w:rFonts w:ascii="Arial Narrow" w:hAnsi="Arial Narrow" w:cs="Arial"/>
          <w:iCs/>
          <w:color w:val="222222"/>
          <w:shd w:val="clear" w:color="auto" w:fill="FFFFFF"/>
        </w:rPr>
        <w:t> : l’idée que d’autres pays pourraient faire pareil, la crainte d’un « </w:t>
      </w:r>
      <w:r w:rsidRPr="004041F3">
        <w:rPr>
          <w:rFonts w:ascii="Arial Narrow" w:hAnsi="Arial Narrow" w:cs="Arial"/>
          <w:i/>
          <w:iCs/>
          <w:color w:val="222222"/>
          <w:shd w:val="clear" w:color="auto" w:fill="FFFFFF"/>
        </w:rPr>
        <w:t>château de cartes</w:t>
      </w:r>
      <w:r>
        <w:rPr>
          <w:rFonts w:ascii="Arial Narrow" w:hAnsi="Arial Narrow" w:cs="Arial"/>
          <w:iCs/>
          <w:color w:val="222222"/>
          <w:shd w:val="clear" w:color="auto" w:fill="FFFFFF"/>
        </w:rPr>
        <w:t> » qui pourrait s’effondrer.</w:t>
      </w:r>
    </w:p>
    <w:p w:rsidR="007E5426" w:rsidRPr="008E06AE" w:rsidRDefault="007E5426" w:rsidP="001D5F0B">
      <w:pPr>
        <w:spacing w:before="120" w:after="0" w:line="276" w:lineRule="auto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8E06AE">
        <w:rPr>
          <w:rFonts w:ascii="Arial Narrow" w:hAnsi="Arial Narrow" w:cs="Arial"/>
          <w:iCs/>
          <w:color w:val="222222"/>
          <w:shd w:val="clear" w:color="auto" w:fill="FFFFFF"/>
        </w:rPr>
        <w:t xml:space="preserve">A noter 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cependant </w:t>
      </w:r>
      <w:r w:rsidRPr="008E06AE">
        <w:rPr>
          <w:rFonts w:ascii="Arial Narrow" w:hAnsi="Arial Narrow" w:cs="Arial"/>
          <w:iCs/>
          <w:color w:val="222222"/>
          <w:shd w:val="clear" w:color="auto" w:fill="FFFFFF"/>
        </w:rPr>
        <w:t xml:space="preserve">que </w:t>
      </w:r>
      <w:r w:rsidRP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dans les paroles spontanées des Français </w:t>
      </w:r>
      <w:r w:rsidRPr="009033C8">
        <w:rPr>
          <w:rFonts w:ascii="Arial Narrow" w:hAnsi="Arial Narrow" w:cs="Arial"/>
          <w:b/>
          <w:iCs/>
          <w:color w:val="222222"/>
          <w:shd w:val="clear" w:color="auto" w:fill="FFFFFF"/>
        </w:rPr>
        <w:t>cette</w:t>
      </w:r>
      <w:r w:rsidRPr="004041F3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crainte est très peu </w:t>
      </w:r>
      <w:proofErr w:type="gramStart"/>
      <w:r w:rsidRPr="004041F3">
        <w:rPr>
          <w:rFonts w:ascii="Arial Narrow" w:hAnsi="Arial Narrow" w:cs="Arial"/>
          <w:b/>
          <w:iCs/>
          <w:color w:val="222222"/>
          <w:shd w:val="clear" w:color="auto" w:fill="FFFFFF"/>
        </w:rPr>
        <w:t>liée</w:t>
      </w:r>
      <w:proofErr w:type="gramEnd"/>
      <w:r w:rsidRPr="004041F3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au </w:t>
      </w:r>
      <w:r w:rsidRPr="000A1496">
        <w:rPr>
          <w:rFonts w:ascii="Arial Narrow" w:hAnsi="Arial Narrow" w:cs="Arial"/>
          <w:b/>
          <w:iCs/>
          <w:color w:val="222222"/>
          <w:shd w:val="clear" w:color="auto" w:fill="FFFFFF"/>
        </w:rPr>
        <w:t>populisme : 4% seulement</w:t>
      </w:r>
      <w:r w:rsidRPr="008E06AE">
        <w:rPr>
          <w:rFonts w:ascii="Arial Narrow" w:hAnsi="Arial Narrow" w:cs="Arial"/>
          <w:iCs/>
          <w:color w:val="222222"/>
          <w:shd w:val="clear" w:color="auto" w:fill="FFFFFF"/>
        </w:rPr>
        <w:t xml:space="preserve"> des citations y font référence. C’est bien </w:t>
      </w:r>
      <w:r w:rsidRPr="001D5F0B">
        <w:rPr>
          <w:rFonts w:ascii="Arial Narrow" w:hAnsi="Arial Narrow" w:cs="Arial"/>
          <w:b/>
          <w:iCs/>
          <w:color w:val="222222"/>
          <w:shd w:val="clear" w:color="auto" w:fill="FFFFFF"/>
        </w:rPr>
        <w:t>le manque de sens de l’UE elle-même</w:t>
      </w:r>
      <w:r w:rsidRPr="000A1496">
        <w:rPr>
          <w:rFonts w:ascii="Arial Narrow" w:hAnsi="Arial Narrow" w:cs="Arial"/>
          <w:iCs/>
          <w:color w:val="222222"/>
          <w:shd w:val="clear" w:color="auto" w:fill="FFFFFF"/>
        </w:rPr>
        <w:t xml:space="preserve"> qui la met en danger</w:t>
      </w:r>
      <w:r w:rsidRPr="000A1496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</w:t>
      </w:r>
      <w:r w:rsidRPr="008E06AE">
        <w:rPr>
          <w:rFonts w:ascii="Arial Narrow" w:hAnsi="Arial Narrow" w:cs="Arial"/>
          <w:iCs/>
          <w:color w:val="222222"/>
          <w:shd w:val="clear" w:color="auto" w:fill="FFFFFF"/>
        </w:rPr>
        <w:t>aux yeux des Français.</w:t>
      </w:r>
    </w:p>
    <w:p w:rsidR="008E06AE" w:rsidRDefault="001D5F0B" w:rsidP="008E06AE">
      <w:pPr>
        <w:pStyle w:val="Paragraphedeliste"/>
        <w:numPr>
          <w:ilvl w:val="0"/>
          <w:numId w:val="23"/>
        </w:numPr>
        <w:spacing w:before="240" w:after="0" w:line="276" w:lineRule="auto"/>
        <w:ind w:left="0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>De même</w:t>
      </w:r>
      <w:r w:rsidR="008E06AE">
        <w:rPr>
          <w:rFonts w:ascii="Arial Narrow" w:hAnsi="Arial Narrow" w:cs="Arial"/>
          <w:iCs/>
          <w:color w:val="222222"/>
          <w:shd w:val="clear" w:color="auto" w:fill="FFFFFF"/>
        </w:rPr>
        <w:t xml:space="preserve">, les paroles sont </w:t>
      </w:r>
      <w:r w:rsidR="008E06AE" w:rsidRPr="000A1496">
        <w:rPr>
          <w:rFonts w:ascii="Arial Narrow" w:hAnsi="Arial Narrow" w:cs="Arial"/>
          <w:b/>
          <w:iCs/>
          <w:color w:val="222222"/>
          <w:shd w:val="clear" w:color="auto" w:fill="FFFFFF"/>
        </w:rPr>
        <w:t>assez peu dirigées vers des « objets »</w:t>
      </w:r>
      <w:r w:rsidR="008E06AE">
        <w:rPr>
          <w:rFonts w:ascii="Arial Narrow" w:hAnsi="Arial Narrow" w:cs="Arial"/>
          <w:iCs/>
          <w:color w:val="222222"/>
          <w:shd w:val="clear" w:color="auto" w:fill="FFFFFF"/>
        </w:rPr>
        <w:t xml:space="preserve"> qui cristalliseraient les critiques :</w:t>
      </w:r>
    </w:p>
    <w:p w:rsidR="008E06AE" w:rsidRDefault="008E06AE" w:rsidP="008E06AE">
      <w:pPr>
        <w:pStyle w:val="Paragraphedeliste"/>
        <w:numPr>
          <w:ilvl w:val="0"/>
          <w:numId w:val="21"/>
        </w:numPr>
        <w:spacing w:before="240" w:after="0" w:line="276" w:lineRule="auto"/>
        <w:ind w:left="284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0A1496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Moins de 10% </w:t>
      </w:r>
      <w:r w:rsidRP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des citations font références 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>aux</w:t>
      </w:r>
      <w:r w:rsidRPr="000A1496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</w:t>
      </w:r>
      <w:r w:rsidR="000A1496">
        <w:rPr>
          <w:rFonts w:ascii="Arial Narrow" w:hAnsi="Arial Narrow" w:cs="Arial"/>
          <w:b/>
          <w:iCs/>
          <w:color w:val="222222"/>
          <w:shd w:val="clear" w:color="auto" w:fill="FFFFFF"/>
        </w:rPr>
        <w:t>enjeux</w:t>
      </w:r>
      <w:r w:rsidRPr="000A1496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économiques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– i.e. </w:t>
      </w:r>
      <w:r>
        <w:rPr>
          <w:rFonts w:ascii="Arial Narrow" w:hAnsi="Arial Narrow" w:cs="Arial"/>
          <w:iCs/>
          <w:color w:val="222222"/>
          <w:shd w:val="clear" w:color="auto" w:fill="FFFFFF"/>
        </w:rPr>
        <w:t>essentiellement une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 Europe</w:t>
      </w:r>
      <w:r w:rsidR="001D5F0B" w:rsidRP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>qui provoque une « </w:t>
      </w:r>
      <w:r w:rsidR="001D5F0B" w:rsidRPr="000A1496">
        <w:rPr>
          <w:rFonts w:ascii="Arial Narrow" w:hAnsi="Arial Narrow" w:cs="Arial"/>
          <w:i/>
          <w:iCs/>
          <w:color w:val="222222"/>
          <w:shd w:val="clear" w:color="auto" w:fill="FFFFFF"/>
        </w:rPr>
        <w:t>hausse du coût de la vie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> »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ou une </w:t>
      </w:r>
      <w:r>
        <w:rPr>
          <w:rFonts w:ascii="Arial Narrow" w:hAnsi="Arial Narrow" w:cs="Arial"/>
          <w:iCs/>
          <w:color w:val="222222"/>
          <w:shd w:val="clear" w:color="auto" w:fill="FFFFFF"/>
        </w:rPr>
        <w:t>« </w:t>
      </w:r>
      <w:r w:rsidRPr="001D5F0B">
        <w:rPr>
          <w:rFonts w:ascii="Arial Narrow" w:hAnsi="Arial Narrow" w:cs="Arial"/>
          <w:i/>
          <w:iCs/>
          <w:color w:val="222222"/>
          <w:shd w:val="clear" w:color="auto" w:fill="FFFFFF"/>
        </w:rPr>
        <w:t>Europe de la finance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> » dominée par l’argent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. On 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ne trouve en revanche </w:t>
      </w:r>
      <w:r w:rsidR="001D5F0B" w:rsidRPr="001D5F0B">
        <w:rPr>
          <w:rFonts w:ascii="Arial Narrow" w:hAnsi="Arial Narrow" w:cs="Arial"/>
          <w:b/>
          <w:iCs/>
          <w:color w:val="222222"/>
          <w:shd w:val="clear" w:color="auto" w:fill="FFFFFF"/>
        </w:rPr>
        <w:t>quasi-</w:t>
      </w:r>
      <w:r w:rsidRPr="001D5F0B">
        <w:rPr>
          <w:rFonts w:ascii="Arial Narrow" w:hAnsi="Arial Narrow" w:cs="Arial"/>
          <w:b/>
          <w:iCs/>
          <w:color w:val="222222"/>
          <w:shd w:val="clear" w:color="auto" w:fill="FFFFFF"/>
        </w:rPr>
        <w:t>aucune référence à « </w:t>
      </w:r>
      <w:r w:rsidRPr="001D5F0B">
        <w:rPr>
          <w:rFonts w:ascii="Arial Narrow" w:hAnsi="Arial Narrow" w:cs="Arial"/>
          <w:b/>
          <w:i/>
          <w:iCs/>
          <w:color w:val="222222"/>
          <w:shd w:val="clear" w:color="auto" w:fill="FFFFFF"/>
        </w:rPr>
        <w:t>l’austérité</w:t>
      </w:r>
      <w:r w:rsidRPr="001D5F0B">
        <w:rPr>
          <w:rFonts w:ascii="Arial Narrow" w:hAnsi="Arial Narrow" w:cs="Arial"/>
          <w:b/>
          <w:iCs/>
          <w:color w:val="222222"/>
          <w:shd w:val="clear" w:color="auto" w:fill="FFFFFF"/>
        </w:rPr>
        <w:t> »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ou plus généralement aux politiques écono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>miques (ultra-libéralisme etc.)</w:t>
      </w:r>
      <w:r>
        <w:rPr>
          <w:rFonts w:ascii="Arial Narrow" w:hAnsi="Arial Narrow" w:cs="Arial"/>
          <w:iCs/>
          <w:color w:val="222222"/>
          <w:shd w:val="clear" w:color="auto" w:fill="FFFFFF"/>
        </w:rPr>
        <w:t>.</w:t>
      </w:r>
    </w:p>
    <w:p w:rsidR="008E06AE" w:rsidRDefault="008E06AE" w:rsidP="008E06AE">
      <w:pPr>
        <w:pStyle w:val="Paragraphedeliste"/>
        <w:numPr>
          <w:ilvl w:val="0"/>
          <w:numId w:val="21"/>
        </w:numPr>
        <w:spacing w:before="240" w:after="0" w:line="276" w:lineRule="auto"/>
        <w:ind w:left="284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0A1496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La même proportion </w:t>
      </w:r>
      <w:r w:rsidRPr="001D5F0B">
        <w:rPr>
          <w:rFonts w:ascii="Arial Narrow" w:hAnsi="Arial Narrow" w:cs="Arial"/>
          <w:iCs/>
          <w:color w:val="222222"/>
          <w:shd w:val="clear" w:color="auto" w:fill="FFFFFF"/>
        </w:rPr>
        <w:t>cible</w:t>
      </w:r>
      <w:r w:rsidRPr="000A1496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l’immigration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. A noter cependant que si la dénonciation explicite reste cantonnée, </w:t>
      </w:r>
      <w:r w:rsidRPr="000A1496">
        <w:rPr>
          <w:rFonts w:ascii="Arial Narrow" w:hAnsi="Arial Narrow" w:cs="Arial"/>
          <w:b/>
          <w:iCs/>
          <w:color w:val="222222"/>
          <w:shd w:val="clear" w:color="auto" w:fill="FFFFFF"/>
        </w:rPr>
        <w:t>l’idée apparaît de façon diffuse bien au-delà de ces 10% des citations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, comme le symptôme d’une Europe qui refuserait de 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>comprendre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ou d’accepter l’impact qu’elle a sur le mode de vie, le modèle social (l’idée du moins-disant et de la compétition dans l’accès aux aides 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liée à l’immigration </w:t>
      </w:r>
      <w:r>
        <w:rPr>
          <w:rFonts w:ascii="Arial Narrow" w:hAnsi="Arial Narrow" w:cs="Arial"/>
          <w:iCs/>
          <w:color w:val="222222"/>
          <w:shd w:val="clear" w:color="auto" w:fill="FFFFFF"/>
        </w:rPr>
        <w:t>est assez présente) ou les principes d’organisation de la société (façons différentes d’intégrer les nouveaux arrivants d’un pays à l’autre, …).</w:t>
      </w:r>
    </w:p>
    <w:p w:rsidR="00D53524" w:rsidRDefault="008E06AE" w:rsidP="008E06AE">
      <w:pPr>
        <w:pStyle w:val="Paragraphedeliste"/>
        <w:numPr>
          <w:ilvl w:val="0"/>
          <w:numId w:val="23"/>
        </w:numPr>
        <w:spacing w:before="240" w:after="0" w:line="276" w:lineRule="auto"/>
        <w:ind w:left="0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lastRenderedPageBreak/>
        <w:t xml:space="preserve">Elles le sont en revanche bien plus - </w:t>
      </w:r>
      <w:r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près de 20% </w:t>
      </w:r>
      <w:r w:rsidRPr="001D5F0B">
        <w:rPr>
          <w:rFonts w:ascii="Arial Narrow" w:hAnsi="Arial Narrow" w:cs="Arial"/>
          <w:iCs/>
          <w:color w:val="222222"/>
          <w:shd w:val="clear" w:color="auto" w:fill="FFFFFF"/>
        </w:rPr>
        <w:t>- autour de</w:t>
      </w:r>
      <w:r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l’idée de </w:t>
      </w:r>
      <w:r w:rsidR="009A0551"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secouer le système, d’un vote qui </w:t>
      </w:r>
      <w:r w:rsidR="009A0551" w:rsidRPr="009A0551">
        <w:rPr>
          <w:rFonts w:ascii="Arial Narrow" w:hAnsi="Arial Narrow" w:cs="Arial"/>
          <w:b/>
          <w:iCs/>
          <w:color w:val="222222"/>
          <w:shd w:val="clear" w:color="auto" w:fill="FFFFFF"/>
        </w:rPr>
        <w:t>paraît vouloir le forcer à bouger</w:t>
      </w:r>
      <w:r w:rsidR="009A0551" w:rsidRPr="009A0551">
        <w:rPr>
          <w:rFonts w:ascii="Arial Narrow" w:hAnsi="Arial Narrow" w:cs="Arial"/>
          <w:iCs/>
          <w:color w:val="222222"/>
          <w:shd w:val="clear" w:color="auto" w:fill="FFFFFF"/>
        </w:rPr>
        <w:t>.</w:t>
      </w:r>
    </w:p>
    <w:p w:rsidR="008E06AE" w:rsidRPr="008E06AE" w:rsidRDefault="009A0551" w:rsidP="001D5F0B">
      <w:pPr>
        <w:spacing w:before="120" w:after="0" w:line="276" w:lineRule="auto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On retrouve là énormément de citations décrivant (le plus souvent avec inquiétude) un système européen </w:t>
      </w:r>
      <w:r w:rsidR="00F448FE">
        <w:rPr>
          <w:rFonts w:ascii="Arial Narrow" w:hAnsi="Arial Narrow" w:cs="Arial"/>
          <w:iCs/>
          <w:color w:val="222222"/>
          <w:shd w:val="clear" w:color="auto" w:fill="FFFFFF"/>
        </w:rPr>
        <w:t>« </w:t>
      </w:r>
      <w:r w:rsidRPr="000A1496">
        <w:rPr>
          <w:rFonts w:ascii="Arial Narrow" w:hAnsi="Arial Narrow" w:cs="Arial"/>
          <w:i/>
          <w:iCs/>
          <w:color w:val="222222"/>
          <w:shd w:val="clear" w:color="auto" w:fill="FFFFFF"/>
        </w:rPr>
        <w:t>à bout de souffle</w:t>
      </w:r>
      <w:r w:rsidR="00F448FE">
        <w:rPr>
          <w:rFonts w:ascii="Arial Narrow" w:hAnsi="Arial Narrow" w:cs="Arial"/>
          <w:iCs/>
          <w:color w:val="222222"/>
          <w:shd w:val="clear" w:color="auto" w:fill="FFFFFF"/>
        </w:rPr>
        <w:t> »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, qui ne fonctionne pas, dont l’idée était bonne mais qui paraît avoir été </w:t>
      </w:r>
      <w:r w:rsidR="00F448FE">
        <w:rPr>
          <w:rFonts w:ascii="Arial Narrow" w:hAnsi="Arial Narrow" w:cs="Arial"/>
          <w:iCs/>
          <w:color w:val="222222"/>
          <w:shd w:val="clear" w:color="auto" w:fill="FFFFFF"/>
        </w:rPr>
        <w:t>« </w:t>
      </w:r>
      <w:r w:rsidRPr="000A1496">
        <w:rPr>
          <w:rFonts w:ascii="Arial Narrow" w:hAnsi="Arial Narrow" w:cs="Arial"/>
          <w:i/>
          <w:iCs/>
          <w:color w:val="222222"/>
          <w:shd w:val="clear" w:color="auto" w:fill="FFFFFF"/>
        </w:rPr>
        <w:t>retourné en dépit du bon sens</w:t>
      </w:r>
      <w:r w:rsidR="00F448FE">
        <w:rPr>
          <w:rFonts w:ascii="Arial Narrow" w:hAnsi="Arial Narrow" w:cs="Arial"/>
          <w:iCs/>
          <w:color w:val="222222"/>
          <w:shd w:val="clear" w:color="auto" w:fill="FFFFFF"/>
        </w:rPr>
        <w:t> »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, aujourd’hui dans la main de responsables </w:t>
      </w:r>
      <w:r w:rsidR="00F448FE">
        <w:rPr>
          <w:rFonts w:ascii="Arial Narrow" w:hAnsi="Arial Narrow" w:cs="Arial"/>
          <w:iCs/>
          <w:color w:val="222222"/>
          <w:shd w:val="clear" w:color="auto" w:fill="FFFFFF"/>
        </w:rPr>
        <w:t>« </w:t>
      </w:r>
      <w:r w:rsidRPr="000A1496">
        <w:rPr>
          <w:rFonts w:ascii="Arial Narrow" w:hAnsi="Arial Narrow" w:cs="Arial"/>
          <w:i/>
          <w:iCs/>
          <w:color w:val="222222"/>
          <w:shd w:val="clear" w:color="auto" w:fill="FFFFFF"/>
        </w:rPr>
        <w:t>déconnectés</w:t>
      </w:r>
      <w:r w:rsidR="00F448FE">
        <w:rPr>
          <w:rFonts w:ascii="Arial Narrow" w:hAnsi="Arial Narrow" w:cs="Arial"/>
          <w:iCs/>
          <w:color w:val="222222"/>
          <w:shd w:val="clear" w:color="auto" w:fill="FFFFFF"/>
        </w:rPr>
        <w:t> »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, </w:t>
      </w:r>
      <w:r w:rsidR="00F448FE">
        <w:rPr>
          <w:rFonts w:ascii="Arial Narrow" w:hAnsi="Arial Narrow" w:cs="Arial"/>
          <w:iCs/>
          <w:color w:val="222222"/>
          <w:shd w:val="clear" w:color="auto" w:fill="FFFFFF"/>
        </w:rPr>
        <w:t xml:space="preserve">et 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>s’accompagne du sentiment</w:t>
      </w:r>
      <w:r w:rsidR="00F448FE">
        <w:rPr>
          <w:rFonts w:ascii="Arial Narrow" w:hAnsi="Arial Narrow" w:cs="Arial"/>
          <w:iCs/>
          <w:color w:val="222222"/>
          <w:shd w:val="clear" w:color="auto" w:fill="FFFFFF"/>
        </w:rPr>
        <w:t xml:space="preserve"> d’un « </w:t>
      </w:r>
      <w:r w:rsidR="00F448FE" w:rsidRPr="000A1496">
        <w:rPr>
          <w:rFonts w:ascii="Arial Narrow" w:hAnsi="Arial Narrow" w:cs="Arial"/>
          <w:i/>
          <w:iCs/>
          <w:color w:val="222222"/>
          <w:shd w:val="clear" w:color="auto" w:fill="FFFFFF"/>
        </w:rPr>
        <w:t>coup de pied dans la fourmilière</w:t>
      </w:r>
      <w:r w:rsidR="00F448FE">
        <w:rPr>
          <w:rFonts w:ascii="Arial Narrow" w:hAnsi="Arial Narrow" w:cs="Arial"/>
          <w:iCs/>
          <w:color w:val="222222"/>
          <w:shd w:val="clear" w:color="auto" w:fill="FFFFFF"/>
        </w:rPr>
        <w:t> » qui serait nécessaire et salutaire pour « </w:t>
      </w:r>
      <w:r w:rsidR="00F448FE" w:rsidRPr="000A1496">
        <w:rPr>
          <w:rFonts w:ascii="Arial Narrow" w:hAnsi="Arial Narrow" w:cs="Arial"/>
          <w:i/>
          <w:iCs/>
          <w:color w:val="222222"/>
          <w:shd w:val="clear" w:color="auto" w:fill="FFFFFF"/>
        </w:rPr>
        <w:t>rebattre les cartes</w:t>
      </w:r>
      <w:r w:rsidR="00F448FE">
        <w:rPr>
          <w:rFonts w:ascii="Arial Narrow" w:hAnsi="Arial Narrow" w:cs="Arial"/>
          <w:iCs/>
          <w:color w:val="222222"/>
          <w:shd w:val="clear" w:color="auto" w:fill="FFFFFF"/>
        </w:rPr>
        <w:t> » et « </w:t>
      </w:r>
      <w:r w:rsidR="00F448FE" w:rsidRPr="000A1496">
        <w:rPr>
          <w:rFonts w:ascii="Arial Narrow" w:hAnsi="Arial Narrow" w:cs="Arial"/>
          <w:i/>
          <w:iCs/>
          <w:color w:val="222222"/>
          <w:shd w:val="clear" w:color="auto" w:fill="FFFFFF"/>
        </w:rPr>
        <w:t>repartir sur les vrais sujets</w:t>
      </w:r>
      <w:r w:rsidR="00F448FE">
        <w:rPr>
          <w:rFonts w:ascii="Arial Narrow" w:hAnsi="Arial Narrow" w:cs="Arial"/>
          <w:iCs/>
          <w:color w:val="222222"/>
          <w:shd w:val="clear" w:color="auto" w:fill="FFFFFF"/>
        </w:rPr>
        <w:t> ».</w:t>
      </w:r>
    </w:p>
    <w:p w:rsidR="00D53524" w:rsidRDefault="001D5F0B" w:rsidP="000D024F">
      <w:pPr>
        <w:pStyle w:val="Paragraphedeliste"/>
        <w:numPr>
          <w:ilvl w:val="0"/>
          <w:numId w:val="23"/>
        </w:numPr>
        <w:spacing w:before="240" w:after="0" w:line="276" w:lineRule="auto"/>
        <w:ind w:left="0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>En</w:t>
      </w:r>
      <w:r w:rsidR="00F448FE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F448FE" w:rsidRPr="00F448FE">
        <w:rPr>
          <w:rFonts w:ascii="Arial Narrow" w:hAnsi="Arial Narrow" w:cs="Arial"/>
          <w:iCs/>
          <w:color w:val="222222"/>
          <w:shd w:val="clear" w:color="auto" w:fill="FFFFFF"/>
        </w:rPr>
        <w:t>corollaire</w:t>
      </w:r>
      <w:r w:rsidR="00F448FE">
        <w:rPr>
          <w:rFonts w:ascii="Arial Narrow" w:hAnsi="Arial Narrow" w:cs="Arial"/>
          <w:iCs/>
          <w:color w:val="222222"/>
          <w:shd w:val="clear" w:color="auto" w:fill="FFFFFF"/>
        </w:rPr>
        <w:t xml:space="preserve"> de ce dernier sentiment, </w:t>
      </w:r>
      <w:r w:rsidR="00F448FE"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>18% expriment une forme de volonté de reprendre en main, contrôler les décisions</w:t>
      </w:r>
      <w:r w:rsidR="00D53524">
        <w:rPr>
          <w:rFonts w:ascii="Arial Narrow" w:hAnsi="Arial Narrow" w:cs="Arial"/>
          <w:iCs/>
          <w:color w:val="222222"/>
          <w:shd w:val="clear" w:color="auto" w:fill="FFFFFF"/>
        </w:rPr>
        <w:t>.</w:t>
      </w:r>
    </w:p>
    <w:p w:rsidR="001D5F0B" w:rsidRDefault="00F448FE" w:rsidP="001D5F0B">
      <w:pPr>
        <w:spacing w:before="120" w:after="0" w:line="276" w:lineRule="auto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Ce n’est pas la notion de démocratie qui ressort spontanément 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ici </w:t>
      </w:r>
      <w:r>
        <w:rPr>
          <w:rFonts w:ascii="Arial Narrow" w:hAnsi="Arial Narrow" w:cs="Arial"/>
          <w:iCs/>
          <w:color w:val="222222"/>
          <w:shd w:val="clear" w:color="auto" w:fill="FFFFFF"/>
        </w:rPr>
        <w:t>(elle est même remarquablement absente : le nombre d’occurrences du mot se compte sur les doigts d’une main)</w:t>
      </w:r>
      <w:r w:rsidR="000D024F">
        <w:rPr>
          <w:rFonts w:ascii="Arial Narrow" w:hAnsi="Arial Narrow" w:cs="Arial"/>
          <w:iCs/>
          <w:color w:val="222222"/>
          <w:shd w:val="clear" w:color="auto" w:fill="FFFFFF"/>
        </w:rPr>
        <w:t xml:space="preserve"> mais </w:t>
      </w:r>
      <w:r w:rsidR="000D024F"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>celle de souveraineté</w:t>
      </w:r>
      <w:r w:rsidR="000D024F">
        <w:rPr>
          <w:rFonts w:ascii="Arial Narrow" w:hAnsi="Arial Narrow" w:cs="Arial"/>
          <w:iCs/>
          <w:color w:val="222222"/>
          <w:shd w:val="clear" w:color="auto" w:fill="FFFFFF"/>
        </w:rPr>
        <w:t xml:space="preserve">, </w:t>
      </w:r>
      <w:r w:rsidR="000D024F" w:rsidRPr="000D024F">
        <w:rPr>
          <w:rFonts w:ascii="Arial Narrow" w:hAnsi="Arial Narrow" w:cs="Arial"/>
          <w:iCs/>
          <w:color w:val="222222"/>
          <w:shd w:val="clear" w:color="auto" w:fill="FFFFFF"/>
        </w:rPr>
        <w:t>du cadre dans lequel s’exercent les choix,</w:t>
      </w:r>
      <w:r w:rsidR="000D024F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0D024F"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>avec en même temps des</w:t>
      </w:r>
      <w:r w:rsidR="000D024F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0D024F"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>interrogations sur la possibilité de « rester soi »</w:t>
      </w:r>
      <w:r w:rsidR="000D024F" w:rsidRPr="00D53524">
        <w:rPr>
          <w:rFonts w:ascii="Arial Narrow" w:hAnsi="Arial Narrow" w:cs="Arial"/>
          <w:iCs/>
          <w:color w:val="222222"/>
          <w:shd w:val="clear" w:color="auto" w:fill="FFFFFF"/>
        </w:rPr>
        <w:t xml:space="preserve"> dans un ensemble plus grand et un contexte de mondialisation et de risques importants.</w:t>
      </w:r>
    </w:p>
    <w:p w:rsidR="001D5F0B" w:rsidRDefault="001D5F0B" w:rsidP="001D5F0B">
      <w:pPr>
        <w:pStyle w:val="Paragraphedeliste"/>
        <w:spacing w:before="240" w:after="0" w:line="276" w:lineRule="auto"/>
        <w:ind w:left="0"/>
        <w:contextualSpacing w:val="0"/>
        <w:jc w:val="center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>*</w:t>
      </w:r>
    </w:p>
    <w:p w:rsidR="004041F3" w:rsidRDefault="000D024F" w:rsidP="000D024F">
      <w:pPr>
        <w:pStyle w:val="Paragraphedeliste"/>
        <w:numPr>
          <w:ilvl w:val="0"/>
          <w:numId w:val="23"/>
        </w:numPr>
        <w:spacing w:before="240" w:after="0" w:line="276" w:lineRule="auto"/>
        <w:ind w:left="0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A noter </w:t>
      </w:r>
      <w:r w:rsidR="001D5F0B">
        <w:rPr>
          <w:rFonts w:ascii="Arial Narrow" w:hAnsi="Arial Narrow" w:cs="Arial"/>
          <w:iCs/>
          <w:color w:val="222222"/>
          <w:shd w:val="clear" w:color="auto" w:fill="FFFFFF"/>
        </w:rPr>
        <w:t xml:space="preserve">enfin 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que </w:t>
      </w:r>
      <w:r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remis dans l’ensemble des sujets, le </w:t>
      </w:r>
      <w:proofErr w:type="spellStart"/>
      <w:r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>Brexit</w:t>
      </w:r>
      <w:proofErr w:type="spellEnd"/>
      <w:r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n’est présent « que »</w:t>
      </w:r>
      <w:r w:rsidR="004041F3"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dans 53</w:t>
      </w:r>
      <w:r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% des citations spontanées des Français sur l’actualité politique, </w:t>
      </w:r>
      <w:r w:rsidR="004041F3"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>soit au même niveau que la loi travail et les manifestations</w:t>
      </w:r>
      <w:r w:rsidR="004041F3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D53524">
        <w:rPr>
          <w:rFonts w:ascii="Arial Narrow" w:hAnsi="Arial Narrow" w:cs="Arial"/>
          <w:iCs/>
          <w:color w:val="222222"/>
          <w:shd w:val="clear" w:color="auto" w:fill="FFFFFF"/>
        </w:rPr>
        <w:t xml:space="preserve">(52% </w:t>
      </w:r>
      <w:r w:rsidR="004041F3">
        <w:rPr>
          <w:rFonts w:ascii="Arial Narrow" w:hAnsi="Arial Narrow" w:cs="Arial"/>
          <w:iCs/>
          <w:color w:val="222222"/>
          <w:shd w:val="clear" w:color="auto" w:fill="FFFFFF"/>
        </w:rPr>
        <w:t xml:space="preserve">encore cette semaine). </w:t>
      </w:r>
    </w:p>
    <w:p w:rsidR="000D024F" w:rsidRDefault="004041F3" w:rsidP="004041F3">
      <w:pPr>
        <w:spacing w:before="240" w:after="0" w:line="276" w:lineRule="auto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D53524">
        <w:rPr>
          <w:rFonts w:ascii="Arial Narrow" w:hAnsi="Arial Narrow" w:cs="Arial"/>
          <w:iCs/>
          <w:color w:val="222222"/>
          <w:shd w:val="clear" w:color="auto" w:fill="FFFFFF"/>
        </w:rPr>
        <w:t>Tous les autres sujets ont disparu, même</w:t>
      </w:r>
      <w:r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Magnanville </w:t>
      </w:r>
      <w:r w:rsidRPr="00D53524">
        <w:rPr>
          <w:rFonts w:ascii="Arial Narrow" w:hAnsi="Arial Narrow" w:cs="Arial"/>
          <w:iCs/>
          <w:color w:val="222222"/>
          <w:shd w:val="clear" w:color="auto" w:fill="FFFFFF"/>
        </w:rPr>
        <w:t>qui est retombé extrêmement vite</w:t>
      </w:r>
      <w:r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– il n’est plus présent que dans </w:t>
      </w:r>
      <w:r w:rsidRPr="00D53524">
        <w:rPr>
          <w:rFonts w:ascii="Arial Narrow" w:hAnsi="Arial Narrow" w:cs="Arial"/>
          <w:b/>
          <w:iCs/>
          <w:color w:val="222222"/>
          <w:shd w:val="clear" w:color="auto" w:fill="FFFFFF"/>
        </w:rPr>
        <w:t>4%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des citations -, preuve que l’attaque n’a pas été un « évènement majeur » pour les Français.</w:t>
      </w:r>
    </w:p>
    <w:p w:rsidR="004041F3" w:rsidRPr="008E06AE" w:rsidRDefault="004041F3" w:rsidP="004041F3">
      <w:pPr>
        <w:spacing w:before="240" w:after="0" w:line="276" w:lineRule="auto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</w:p>
    <w:p w:rsidR="00627D8D" w:rsidRPr="00C0722E" w:rsidRDefault="00627D8D" w:rsidP="00627D8D">
      <w:pPr>
        <w:tabs>
          <w:tab w:val="left" w:pos="6804"/>
        </w:tabs>
        <w:spacing w:before="120" w:after="0" w:line="264" w:lineRule="auto"/>
        <w:jc w:val="both"/>
        <w:rPr>
          <w:rFonts w:ascii="Arial Narrow" w:hAnsi="Arial Narrow"/>
        </w:rPr>
      </w:pPr>
    </w:p>
    <w:p w:rsidR="00627D8D" w:rsidRPr="00C0722E" w:rsidRDefault="00627D8D" w:rsidP="00627D8D">
      <w:pPr>
        <w:tabs>
          <w:tab w:val="left" w:pos="6804"/>
        </w:tabs>
        <w:spacing w:before="120" w:after="0" w:line="264" w:lineRule="auto"/>
        <w:jc w:val="both"/>
        <w:rPr>
          <w:rFonts w:ascii="Arial Narrow" w:hAnsi="Arial Narrow"/>
        </w:rPr>
      </w:pPr>
      <w:r w:rsidRPr="00C0722E">
        <w:rPr>
          <w:rFonts w:ascii="Arial Narrow" w:hAnsi="Arial Narrow"/>
        </w:rPr>
        <w:tab/>
        <w:t>Adrien ABECASSIS</w:t>
      </w:r>
    </w:p>
    <w:p w:rsidR="00A975D6" w:rsidRPr="001C43B0" w:rsidRDefault="00A975D6" w:rsidP="001C43B0">
      <w:pPr>
        <w:shd w:val="clear" w:color="auto" w:fill="FFFFFF"/>
        <w:spacing w:after="0" w:line="264" w:lineRule="auto"/>
        <w:jc w:val="both"/>
        <w:rPr>
          <w:rFonts w:eastAsia="Times New Roman" w:cstheme="minorHAnsi"/>
          <w:iCs/>
          <w:color w:val="222222"/>
          <w:lang w:eastAsia="fr-FR"/>
        </w:rPr>
      </w:pPr>
      <w:bookmarkStart w:id="0" w:name="_GoBack"/>
      <w:bookmarkEnd w:id="0"/>
    </w:p>
    <w:sectPr w:rsidR="00A975D6" w:rsidRPr="001C43B0" w:rsidSect="007E5426">
      <w:footerReference w:type="default" r:id="rId9"/>
      <w:pgSz w:w="11906" w:h="16838" w:code="9"/>
      <w:pgMar w:top="794" w:right="1134" w:bottom="794" w:left="1134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489" w:rsidRDefault="00F80489" w:rsidP="00254AF9">
      <w:pPr>
        <w:spacing w:after="0" w:line="240" w:lineRule="auto"/>
      </w:pPr>
      <w:r>
        <w:separator/>
      </w:r>
    </w:p>
  </w:endnote>
  <w:endnote w:type="continuationSeparator" w:id="0">
    <w:p w:rsidR="00F80489" w:rsidRDefault="00F80489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Narrow" w:hAnsi="Arial Narrow"/>
      </w:rPr>
      <w:id w:val="-1278634862"/>
      <w:docPartObj>
        <w:docPartGallery w:val="Page Numbers (Bottom of Page)"/>
        <w:docPartUnique/>
      </w:docPartObj>
    </w:sdtPr>
    <w:sdtEndPr/>
    <w:sdtContent>
      <w:p w:rsidR="00F80489" w:rsidRPr="001678B3" w:rsidRDefault="00F80489" w:rsidP="00673BC6">
        <w:pPr>
          <w:pStyle w:val="Pieddepage"/>
          <w:jc w:val="right"/>
          <w:rPr>
            <w:rFonts w:ascii="Arial Narrow" w:hAnsi="Arial Narrow"/>
          </w:rPr>
        </w:pPr>
        <w:r w:rsidRPr="001678B3">
          <w:rPr>
            <w:rFonts w:ascii="Arial Narrow" w:hAnsi="Arial Narrow"/>
          </w:rPr>
          <w:fldChar w:fldCharType="begin"/>
        </w:r>
        <w:r w:rsidRPr="001678B3">
          <w:rPr>
            <w:rFonts w:ascii="Arial Narrow" w:hAnsi="Arial Narrow"/>
          </w:rPr>
          <w:instrText>PAGE   \* MERGEFORMAT</w:instrText>
        </w:r>
        <w:r w:rsidRPr="001678B3">
          <w:rPr>
            <w:rFonts w:ascii="Arial Narrow" w:hAnsi="Arial Narrow"/>
          </w:rPr>
          <w:fldChar w:fldCharType="separate"/>
        </w:r>
        <w:r w:rsidR="009033C8">
          <w:rPr>
            <w:rFonts w:ascii="Arial Narrow" w:hAnsi="Arial Narrow"/>
            <w:noProof/>
          </w:rPr>
          <w:t>2</w:t>
        </w:r>
        <w:r w:rsidRPr="001678B3">
          <w:rPr>
            <w:rFonts w:ascii="Arial Narrow" w:hAnsi="Arial Narro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489" w:rsidRDefault="00F80489" w:rsidP="00254AF9">
      <w:pPr>
        <w:spacing w:after="0" w:line="240" w:lineRule="auto"/>
      </w:pPr>
      <w:r>
        <w:separator/>
      </w:r>
    </w:p>
  </w:footnote>
  <w:footnote w:type="continuationSeparator" w:id="0">
    <w:p w:rsidR="00F80489" w:rsidRDefault="00F80489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696137"/>
    <w:multiLevelType w:val="hybridMultilevel"/>
    <w:tmpl w:val="8A7C4326"/>
    <w:lvl w:ilvl="0" w:tplc="5CF81D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A352A7"/>
    <w:multiLevelType w:val="hybridMultilevel"/>
    <w:tmpl w:val="72F6A420"/>
    <w:lvl w:ilvl="0" w:tplc="E71A7E06">
      <w:start w:val="1"/>
      <w:numFmt w:val="lowerLetter"/>
      <w:lvlText w:val="%1)"/>
      <w:lvlJc w:val="left"/>
      <w:pPr>
        <w:ind w:left="360" w:hanging="360"/>
      </w:pPr>
      <w:rPr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>
    <w:nsid w:val="46334877"/>
    <w:multiLevelType w:val="hybridMultilevel"/>
    <w:tmpl w:val="CA803CEE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DFD21DDA">
      <w:start w:val="1"/>
      <w:numFmt w:val="bullet"/>
      <w:lvlText w:val="ð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912A2"/>
    <w:multiLevelType w:val="hybridMultilevel"/>
    <w:tmpl w:val="5F942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B266C4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430CC"/>
    <w:multiLevelType w:val="hybridMultilevel"/>
    <w:tmpl w:val="E93AFB50"/>
    <w:lvl w:ilvl="0" w:tplc="B7048D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B222C"/>
    <w:multiLevelType w:val="hybridMultilevel"/>
    <w:tmpl w:val="55BA2E40"/>
    <w:lvl w:ilvl="0" w:tplc="B6F2E28A">
      <w:numFmt w:val="bullet"/>
      <w:lvlText w:val="-"/>
      <w:lvlJc w:val="left"/>
      <w:pPr>
        <w:ind w:left="-492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</w:abstractNum>
  <w:abstractNum w:abstractNumId="15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C30DCA"/>
    <w:multiLevelType w:val="hybridMultilevel"/>
    <w:tmpl w:val="83A4BC32"/>
    <w:lvl w:ilvl="0" w:tplc="D6E81470">
      <w:numFmt w:val="bullet"/>
      <w:lvlText w:val="-"/>
      <w:lvlJc w:val="left"/>
      <w:pPr>
        <w:ind w:left="-1422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-7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</w:abstractNum>
  <w:abstractNum w:abstractNumId="18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AF4160"/>
    <w:multiLevelType w:val="hybridMultilevel"/>
    <w:tmpl w:val="6FDE3A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4137D4"/>
    <w:multiLevelType w:val="hybridMultilevel"/>
    <w:tmpl w:val="AB986BB0"/>
    <w:lvl w:ilvl="0" w:tplc="8C4EEFA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15"/>
  </w:num>
  <w:num w:numId="9">
    <w:abstractNumId w:val="20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21"/>
  </w:num>
  <w:num w:numId="16">
    <w:abstractNumId w:val="22"/>
  </w:num>
  <w:num w:numId="17">
    <w:abstractNumId w:val="14"/>
  </w:num>
  <w:num w:numId="18">
    <w:abstractNumId w:val="12"/>
  </w:num>
  <w:num w:numId="19">
    <w:abstractNumId w:val="13"/>
  </w:num>
  <w:num w:numId="20">
    <w:abstractNumId w:val="10"/>
  </w:num>
  <w:num w:numId="21">
    <w:abstractNumId w:val="17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11D82"/>
    <w:rsid w:val="00020549"/>
    <w:rsid w:val="00021B46"/>
    <w:rsid w:val="00024E1E"/>
    <w:rsid w:val="0002538F"/>
    <w:rsid w:val="000372BC"/>
    <w:rsid w:val="00040BA8"/>
    <w:rsid w:val="000428D0"/>
    <w:rsid w:val="00054400"/>
    <w:rsid w:val="0007261F"/>
    <w:rsid w:val="0007356D"/>
    <w:rsid w:val="00075454"/>
    <w:rsid w:val="000778BC"/>
    <w:rsid w:val="00081F1F"/>
    <w:rsid w:val="000A1496"/>
    <w:rsid w:val="000D024F"/>
    <w:rsid w:val="000E3F18"/>
    <w:rsid w:val="000E682A"/>
    <w:rsid w:val="000F687C"/>
    <w:rsid w:val="000F6F58"/>
    <w:rsid w:val="00100EBC"/>
    <w:rsid w:val="00106273"/>
    <w:rsid w:val="00124643"/>
    <w:rsid w:val="00134910"/>
    <w:rsid w:val="00135AE6"/>
    <w:rsid w:val="001612EB"/>
    <w:rsid w:val="00161810"/>
    <w:rsid w:val="001661E5"/>
    <w:rsid w:val="001678B3"/>
    <w:rsid w:val="00170CDF"/>
    <w:rsid w:val="00171FEF"/>
    <w:rsid w:val="00197B2F"/>
    <w:rsid w:val="001A44AF"/>
    <w:rsid w:val="001B2E6D"/>
    <w:rsid w:val="001B30BD"/>
    <w:rsid w:val="001C3A46"/>
    <w:rsid w:val="001C43B0"/>
    <w:rsid w:val="001D21D3"/>
    <w:rsid w:val="001D2955"/>
    <w:rsid w:val="001D34D8"/>
    <w:rsid w:val="001D5F0B"/>
    <w:rsid w:val="001E011A"/>
    <w:rsid w:val="001F00B4"/>
    <w:rsid w:val="002022DC"/>
    <w:rsid w:val="00205367"/>
    <w:rsid w:val="002107EE"/>
    <w:rsid w:val="00215CCD"/>
    <w:rsid w:val="00220749"/>
    <w:rsid w:val="00254AF9"/>
    <w:rsid w:val="00256126"/>
    <w:rsid w:val="00260014"/>
    <w:rsid w:val="002616D2"/>
    <w:rsid w:val="00264F81"/>
    <w:rsid w:val="0027683A"/>
    <w:rsid w:val="00283BC4"/>
    <w:rsid w:val="002A0BC3"/>
    <w:rsid w:val="002A10FB"/>
    <w:rsid w:val="002A4CFA"/>
    <w:rsid w:val="002B4D47"/>
    <w:rsid w:val="002C35A0"/>
    <w:rsid w:val="002D3BCD"/>
    <w:rsid w:val="002E5717"/>
    <w:rsid w:val="002F244A"/>
    <w:rsid w:val="003010CD"/>
    <w:rsid w:val="00302113"/>
    <w:rsid w:val="00304968"/>
    <w:rsid w:val="00320FBD"/>
    <w:rsid w:val="003318A5"/>
    <w:rsid w:val="00334465"/>
    <w:rsid w:val="0034091E"/>
    <w:rsid w:val="00360DF8"/>
    <w:rsid w:val="0037261E"/>
    <w:rsid w:val="003738A8"/>
    <w:rsid w:val="003843D5"/>
    <w:rsid w:val="00386F1A"/>
    <w:rsid w:val="00392307"/>
    <w:rsid w:val="00393013"/>
    <w:rsid w:val="003B4D95"/>
    <w:rsid w:val="003C2021"/>
    <w:rsid w:val="003C2241"/>
    <w:rsid w:val="003D2C3A"/>
    <w:rsid w:val="003E11E4"/>
    <w:rsid w:val="003E437F"/>
    <w:rsid w:val="003E64D4"/>
    <w:rsid w:val="003F04A0"/>
    <w:rsid w:val="003F168A"/>
    <w:rsid w:val="0040269A"/>
    <w:rsid w:val="004041F3"/>
    <w:rsid w:val="00411895"/>
    <w:rsid w:val="00420A8E"/>
    <w:rsid w:val="00442E72"/>
    <w:rsid w:val="004447F7"/>
    <w:rsid w:val="0046464A"/>
    <w:rsid w:val="00465959"/>
    <w:rsid w:val="0047173E"/>
    <w:rsid w:val="00474BD3"/>
    <w:rsid w:val="004956CD"/>
    <w:rsid w:val="004A799F"/>
    <w:rsid w:val="004B090F"/>
    <w:rsid w:val="004B27C5"/>
    <w:rsid w:val="004C5B2C"/>
    <w:rsid w:val="004C7464"/>
    <w:rsid w:val="004C7F20"/>
    <w:rsid w:val="004E5163"/>
    <w:rsid w:val="00505D0A"/>
    <w:rsid w:val="0051139E"/>
    <w:rsid w:val="00516CCD"/>
    <w:rsid w:val="005213D3"/>
    <w:rsid w:val="0052196C"/>
    <w:rsid w:val="0054717B"/>
    <w:rsid w:val="0055187F"/>
    <w:rsid w:val="00553BFF"/>
    <w:rsid w:val="00573706"/>
    <w:rsid w:val="00577D8C"/>
    <w:rsid w:val="0058260C"/>
    <w:rsid w:val="00584B1C"/>
    <w:rsid w:val="00586FE8"/>
    <w:rsid w:val="005874F5"/>
    <w:rsid w:val="005B4CB1"/>
    <w:rsid w:val="005B5AB2"/>
    <w:rsid w:val="005C4BEA"/>
    <w:rsid w:val="005C5407"/>
    <w:rsid w:val="005E7379"/>
    <w:rsid w:val="005E7739"/>
    <w:rsid w:val="005F5AA9"/>
    <w:rsid w:val="006262CF"/>
    <w:rsid w:val="00627D8D"/>
    <w:rsid w:val="0063058A"/>
    <w:rsid w:val="00632B2D"/>
    <w:rsid w:val="00645F4A"/>
    <w:rsid w:val="006565C4"/>
    <w:rsid w:val="006623B7"/>
    <w:rsid w:val="00662A07"/>
    <w:rsid w:val="00666A52"/>
    <w:rsid w:val="0067023E"/>
    <w:rsid w:val="00673BC6"/>
    <w:rsid w:val="006776EC"/>
    <w:rsid w:val="006809DD"/>
    <w:rsid w:val="00685CD7"/>
    <w:rsid w:val="0068623E"/>
    <w:rsid w:val="006862CF"/>
    <w:rsid w:val="0069223A"/>
    <w:rsid w:val="00694D9D"/>
    <w:rsid w:val="006A0726"/>
    <w:rsid w:val="006B5EAE"/>
    <w:rsid w:val="006C2553"/>
    <w:rsid w:val="006C66E3"/>
    <w:rsid w:val="006D1A3E"/>
    <w:rsid w:val="006D4767"/>
    <w:rsid w:val="006F585C"/>
    <w:rsid w:val="006F65B7"/>
    <w:rsid w:val="00700A7A"/>
    <w:rsid w:val="00705D03"/>
    <w:rsid w:val="007108E3"/>
    <w:rsid w:val="0072155F"/>
    <w:rsid w:val="0072682C"/>
    <w:rsid w:val="0073120B"/>
    <w:rsid w:val="00746E0C"/>
    <w:rsid w:val="0075560A"/>
    <w:rsid w:val="007602DC"/>
    <w:rsid w:val="00763E9E"/>
    <w:rsid w:val="007653E5"/>
    <w:rsid w:val="007916C8"/>
    <w:rsid w:val="007B49A8"/>
    <w:rsid w:val="007B73EE"/>
    <w:rsid w:val="007D2D93"/>
    <w:rsid w:val="007D49EB"/>
    <w:rsid w:val="007E4E1A"/>
    <w:rsid w:val="007E5426"/>
    <w:rsid w:val="007F4C0B"/>
    <w:rsid w:val="00812610"/>
    <w:rsid w:val="00821695"/>
    <w:rsid w:val="0082489C"/>
    <w:rsid w:val="00844D4D"/>
    <w:rsid w:val="00854B70"/>
    <w:rsid w:val="00863F95"/>
    <w:rsid w:val="008809D8"/>
    <w:rsid w:val="00882CDE"/>
    <w:rsid w:val="00890F90"/>
    <w:rsid w:val="008A621C"/>
    <w:rsid w:val="008B74EE"/>
    <w:rsid w:val="008D559D"/>
    <w:rsid w:val="008E06AE"/>
    <w:rsid w:val="008E2274"/>
    <w:rsid w:val="008E3692"/>
    <w:rsid w:val="008F4A7F"/>
    <w:rsid w:val="009033C8"/>
    <w:rsid w:val="009138AF"/>
    <w:rsid w:val="00925C7B"/>
    <w:rsid w:val="00930969"/>
    <w:rsid w:val="00932832"/>
    <w:rsid w:val="009372E2"/>
    <w:rsid w:val="00945C42"/>
    <w:rsid w:val="00953A25"/>
    <w:rsid w:val="00957E7F"/>
    <w:rsid w:val="009739FC"/>
    <w:rsid w:val="009750F0"/>
    <w:rsid w:val="00984AD3"/>
    <w:rsid w:val="00992B4B"/>
    <w:rsid w:val="00993CD3"/>
    <w:rsid w:val="009A0551"/>
    <w:rsid w:val="009A2D0D"/>
    <w:rsid w:val="009A3749"/>
    <w:rsid w:val="009C094C"/>
    <w:rsid w:val="009C18D0"/>
    <w:rsid w:val="009C57D4"/>
    <w:rsid w:val="009D0398"/>
    <w:rsid w:val="009D11E8"/>
    <w:rsid w:val="009E0CE2"/>
    <w:rsid w:val="009E2A94"/>
    <w:rsid w:val="009E35D9"/>
    <w:rsid w:val="009E5E27"/>
    <w:rsid w:val="009F26C5"/>
    <w:rsid w:val="00A012D2"/>
    <w:rsid w:val="00A23E5D"/>
    <w:rsid w:val="00A52B21"/>
    <w:rsid w:val="00A54038"/>
    <w:rsid w:val="00A66844"/>
    <w:rsid w:val="00A90220"/>
    <w:rsid w:val="00A967AC"/>
    <w:rsid w:val="00A975D6"/>
    <w:rsid w:val="00AA1611"/>
    <w:rsid w:val="00AB447F"/>
    <w:rsid w:val="00AC761B"/>
    <w:rsid w:val="00AC7D9A"/>
    <w:rsid w:val="00AD62FD"/>
    <w:rsid w:val="00AE3477"/>
    <w:rsid w:val="00AE47FF"/>
    <w:rsid w:val="00AF6A6A"/>
    <w:rsid w:val="00AF71E3"/>
    <w:rsid w:val="00AF7E86"/>
    <w:rsid w:val="00B040FA"/>
    <w:rsid w:val="00B0476E"/>
    <w:rsid w:val="00B11709"/>
    <w:rsid w:val="00B136C4"/>
    <w:rsid w:val="00B1408B"/>
    <w:rsid w:val="00B54356"/>
    <w:rsid w:val="00B5572D"/>
    <w:rsid w:val="00B56887"/>
    <w:rsid w:val="00B61EEC"/>
    <w:rsid w:val="00B64DD3"/>
    <w:rsid w:val="00B7159C"/>
    <w:rsid w:val="00B71BC4"/>
    <w:rsid w:val="00B74E56"/>
    <w:rsid w:val="00B76305"/>
    <w:rsid w:val="00B946D4"/>
    <w:rsid w:val="00BA7883"/>
    <w:rsid w:val="00BB1EB1"/>
    <w:rsid w:val="00BE2EE0"/>
    <w:rsid w:val="00BE7BF6"/>
    <w:rsid w:val="00C001C0"/>
    <w:rsid w:val="00C02E21"/>
    <w:rsid w:val="00C0558B"/>
    <w:rsid w:val="00C0722E"/>
    <w:rsid w:val="00C108AC"/>
    <w:rsid w:val="00C114AF"/>
    <w:rsid w:val="00C2096E"/>
    <w:rsid w:val="00C23D05"/>
    <w:rsid w:val="00C2457E"/>
    <w:rsid w:val="00C46E23"/>
    <w:rsid w:val="00C52023"/>
    <w:rsid w:val="00C52B15"/>
    <w:rsid w:val="00C557DF"/>
    <w:rsid w:val="00C578D1"/>
    <w:rsid w:val="00C65D46"/>
    <w:rsid w:val="00C727A0"/>
    <w:rsid w:val="00C74D5A"/>
    <w:rsid w:val="00CA5EED"/>
    <w:rsid w:val="00CA724B"/>
    <w:rsid w:val="00CE7CD3"/>
    <w:rsid w:val="00CF2A39"/>
    <w:rsid w:val="00D125D5"/>
    <w:rsid w:val="00D13789"/>
    <w:rsid w:val="00D23577"/>
    <w:rsid w:val="00D24780"/>
    <w:rsid w:val="00D358A2"/>
    <w:rsid w:val="00D36E7B"/>
    <w:rsid w:val="00D42EFE"/>
    <w:rsid w:val="00D47DC5"/>
    <w:rsid w:val="00D53524"/>
    <w:rsid w:val="00D57EEB"/>
    <w:rsid w:val="00D76165"/>
    <w:rsid w:val="00D80D0A"/>
    <w:rsid w:val="00D86E35"/>
    <w:rsid w:val="00D90740"/>
    <w:rsid w:val="00D91828"/>
    <w:rsid w:val="00D95D49"/>
    <w:rsid w:val="00DC4F96"/>
    <w:rsid w:val="00DE372A"/>
    <w:rsid w:val="00DF6274"/>
    <w:rsid w:val="00E10A44"/>
    <w:rsid w:val="00E3132D"/>
    <w:rsid w:val="00E34C52"/>
    <w:rsid w:val="00E458DF"/>
    <w:rsid w:val="00E5271D"/>
    <w:rsid w:val="00E52C97"/>
    <w:rsid w:val="00E5402F"/>
    <w:rsid w:val="00E64176"/>
    <w:rsid w:val="00E736C9"/>
    <w:rsid w:val="00E84369"/>
    <w:rsid w:val="00E8541A"/>
    <w:rsid w:val="00E94CC7"/>
    <w:rsid w:val="00EA2019"/>
    <w:rsid w:val="00EC5829"/>
    <w:rsid w:val="00ED6859"/>
    <w:rsid w:val="00EE1774"/>
    <w:rsid w:val="00EE5333"/>
    <w:rsid w:val="00EF6D7B"/>
    <w:rsid w:val="00F12AFD"/>
    <w:rsid w:val="00F247B2"/>
    <w:rsid w:val="00F36264"/>
    <w:rsid w:val="00F41A2A"/>
    <w:rsid w:val="00F448FE"/>
    <w:rsid w:val="00F4637D"/>
    <w:rsid w:val="00F469A9"/>
    <w:rsid w:val="00F6778E"/>
    <w:rsid w:val="00F80489"/>
    <w:rsid w:val="00F97D47"/>
    <w:rsid w:val="00FA45F3"/>
    <w:rsid w:val="00FD084F"/>
    <w:rsid w:val="00FD348C"/>
    <w:rsid w:val="00FE12C2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  <w:style w:type="character" w:customStyle="1" w:styleId="apple-converted-space">
    <w:name w:val="apple-converted-space"/>
    <w:basedOn w:val="Policepardfaut"/>
    <w:rsid w:val="001661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  <w:style w:type="character" w:customStyle="1" w:styleId="apple-converted-space">
    <w:name w:val="apple-converted-space"/>
    <w:basedOn w:val="Policepardfaut"/>
    <w:rsid w:val="0016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9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85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3206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E8BC8-728D-4281-A15E-0906902E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7</cp:revision>
  <cp:lastPrinted>2016-06-29T16:32:00Z</cp:lastPrinted>
  <dcterms:created xsi:type="dcterms:W3CDTF">2016-06-29T09:50:00Z</dcterms:created>
  <dcterms:modified xsi:type="dcterms:W3CDTF">2016-06-29T16:34:00Z</dcterms:modified>
</cp:coreProperties>
</file>