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B56787">
        <w:rPr>
          <w:rFonts w:ascii="Times New Roman" w:eastAsia="Times New Roman" w:hAnsi="Times New Roman"/>
          <w:color w:val="0D0D0D"/>
          <w:sz w:val="23"/>
          <w:szCs w:val="23"/>
        </w:rPr>
        <w:t>1</w:t>
      </w:r>
      <w:r w:rsidR="00644E22">
        <w:rPr>
          <w:rFonts w:ascii="Times New Roman" w:eastAsia="Times New Roman" w:hAnsi="Times New Roman"/>
          <w:color w:val="0D0D0D"/>
          <w:sz w:val="23"/>
          <w:szCs w:val="23"/>
        </w:rPr>
        <w:t xml:space="preserve">2 </w:t>
      </w:r>
      <w:r w:rsidR="00B56787">
        <w:rPr>
          <w:rFonts w:ascii="Times New Roman" w:eastAsia="Times New Roman" w:hAnsi="Times New Roman"/>
          <w:color w:val="0D0D0D"/>
          <w:sz w:val="23"/>
          <w:szCs w:val="23"/>
        </w:rPr>
        <w:t>octobre</w:t>
      </w:r>
      <w:r>
        <w:rPr>
          <w:rFonts w:ascii="Times New Roman" w:eastAsia="Times New Roman" w:hAnsi="Times New Roman"/>
          <w:color w:val="0D0D0D"/>
          <w:sz w:val="23"/>
          <w:szCs w:val="23"/>
        </w:rPr>
        <w:t xml:space="preserve"> 2016</w:t>
      </w:r>
    </w:p>
    <w:p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F14A40" w:rsidRPr="00F14A40" w:rsidRDefault="00F14A40" w:rsidP="00F14A40">
      <w:pPr>
        <w:spacing w:before="120" w:after="0" w:line="264" w:lineRule="auto"/>
        <w:jc w:val="both"/>
        <w:rPr>
          <w:rFonts w:ascii="Cambria" w:hAnsi="Cambria"/>
        </w:rPr>
      </w:pPr>
    </w:p>
    <w:p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proofErr w:type="spellStart"/>
      <w:r w:rsidR="00644E22">
        <w:rPr>
          <w:b/>
          <w:i/>
          <w:u w:val="single"/>
        </w:rPr>
        <w:t>Viry-Chatillon</w:t>
      </w:r>
      <w:proofErr w:type="spellEnd"/>
    </w:p>
    <w:p w:rsidR="004B25FD" w:rsidRDefault="00B83771" w:rsidP="005F0CFF">
      <w:pPr>
        <w:numPr>
          <w:ilvl w:val="0"/>
          <w:numId w:val="8"/>
        </w:numPr>
        <w:spacing w:before="240" w:after="0" w:line="264" w:lineRule="auto"/>
        <w:ind w:left="0" w:hanging="284"/>
        <w:jc w:val="both"/>
      </w:pPr>
      <w:r w:rsidRPr="004B25FD">
        <w:t xml:space="preserve">Ce qui a le plus inquiété à </w:t>
      </w:r>
      <w:proofErr w:type="spellStart"/>
      <w:r w:rsidRPr="004B25FD">
        <w:t>Viry-Chatillon</w:t>
      </w:r>
      <w:proofErr w:type="spellEnd"/>
      <w:r w:rsidRPr="004B25FD">
        <w:t xml:space="preserve"> est moins « l’insécurité » en tant que telle que l’existence de « zones de non-droit » (« </w:t>
      </w:r>
      <w:r w:rsidRPr="004B25FD">
        <w:rPr>
          <w:i/>
        </w:rPr>
        <w:t>mises en coupe réglée par des caïds de la drogue et des islamistes radicaux </w:t>
      </w:r>
      <w:r w:rsidRPr="004B25FD">
        <w:t>»)</w:t>
      </w:r>
      <w:r w:rsidRPr="004B25FD">
        <w:rPr>
          <w:i/>
        </w:rPr>
        <w:t xml:space="preserve"> </w:t>
      </w:r>
      <w:r w:rsidRPr="004B25FD">
        <w:t xml:space="preserve">et </w:t>
      </w:r>
      <w:r w:rsidR="00644E22" w:rsidRPr="004B25FD">
        <w:t>le</w:t>
      </w:r>
      <w:r w:rsidRPr="004B25FD">
        <w:t xml:space="preserve"> sentiment d’impunité présupposé des auteurs</w:t>
      </w:r>
      <w:r w:rsidR="00644E22" w:rsidRPr="004B25FD">
        <w:t xml:space="preserve"> (</w:t>
      </w:r>
      <w:r w:rsidRPr="004B25FD">
        <w:t>« </w:t>
      </w:r>
      <w:r w:rsidRPr="004B25FD">
        <w:rPr>
          <w:i/>
        </w:rPr>
        <w:t>la justice les relâchera très vite, les témoins ne parlerons pas, ce dossier finira comme les autres par des peines dérisoires avec sursis</w:t>
      </w:r>
      <w:r w:rsidRPr="004B25FD">
        <w:t xml:space="preserve"> ») ; défis à l’autorité de l’Etat donc à sa capacité à éviter la fragmentation de la </w:t>
      </w:r>
      <w:r w:rsidR="004B25FD">
        <w:t>société</w:t>
      </w:r>
      <w:r w:rsidR="00644E22" w:rsidRPr="004B25FD">
        <w:t>.</w:t>
      </w:r>
    </w:p>
    <w:p w:rsidR="00644E22" w:rsidRPr="006F27D7" w:rsidRDefault="004B25FD" w:rsidP="004B25FD">
      <w:pPr>
        <w:spacing w:before="120" w:after="0" w:line="264" w:lineRule="auto"/>
        <w:jc w:val="both"/>
        <w:rPr>
          <w:spacing w:val="-2"/>
        </w:rPr>
      </w:pPr>
      <w:r>
        <w:t>L’évènement est lu à travers le prisme, devenu courant, de la dislocation (</w:t>
      </w:r>
      <w:r w:rsidRPr="004B25FD">
        <w:t>violente</w:t>
      </w:r>
      <w:r>
        <w:t xml:space="preserve"> en l’espèce)</w:t>
      </w:r>
      <w:r w:rsidRPr="004B25FD">
        <w:t xml:space="preserve"> </w:t>
      </w:r>
      <w:r>
        <w:t xml:space="preserve">du pays </w:t>
      </w:r>
      <w:r w:rsidR="005F0CFF" w:rsidRPr="006F27D7">
        <w:rPr>
          <w:spacing w:val="-2"/>
        </w:rPr>
        <w:t>(</w:t>
      </w:r>
      <w:r w:rsidR="00B83771" w:rsidRPr="006F27D7">
        <w:rPr>
          <w:spacing w:val="-2"/>
        </w:rPr>
        <w:t>« </w:t>
      </w:r>
      <w:r w:rsidR="00B83771" w:rsidRPr="006F27D7">
        <w:rPr>
          <w:i/>
          <w:spacing w:val="-2"/>
        </w:rPr>
        <w:t>nous sommes au bord de la guerre civile !</w:t>
      </w:r>
      <w:r w:rsidR="00B83771" w:rsidRPr="006F27D7">
        <w:rPr>
          <w:spacing w:val="-2"/>
        </w:rPr>
        <w:t> »</w:t>
      </w:r>
      <w:r w:rsidR="005F0CFF" w:rsidRPr="006F27D7">
        <w:rPr>
          <w:spacing w:val="-2"/>
        </w:rPr>
        <w:t>)</w:t>
      </w:r>
      <w:r w:rsidRPr="006F27D7">
        <w:rPr>
          <w:spacing w:val="-2"/>
        </w:rPr>
        <w:t>,</w:t>
      </w:r>
      <w:r w:rsidR="00B83771" w:rsidRPr="006F27D7">
        <w:rPr>
          <w:spacing w:val="-2"/>
        </w:rPr>
        <w:t xml:space="preserve"> </w:t>
      </w:r>
      <w:r w:rsidR="005F0CFF" w:rsidRPr="006F27D7">
        <w:rPr>
          <w:spacing w:val="-2"/>
        </w:rPr>
        <w:t>p</w:t>
      </w:r>
      <w:r w:rsidR="00B83771" w:rsidRPr="006F27D7">
        <w:rPr>
          <w:spacing w:val="-2"/>
        </w:rPr>
        <w:t>our pointer la responsabilité du gouvernement (« </w:t>
      </w:r>
      <w:r w:rsidR="00B83771" w:rsidRPr="006F27D7">
        <w:rPr>
          <w:i/>
          <w:spacing w:val="-2"/>
        </w:rPr>
        <w:t>il est inadmissible que des cités soient devenues des "pays indépenda</w:t>
      </w:r>
      <w:r w:rsidR="008F48C4">
        <w:rPr>
          <w:i/>
          <w:spacing w:val="-2"/>
        </w:rPr>
        <w:t>nts" dans un pays nommé France</w:t>
      </w:r>
      <w:r w:rsidR="00B83771" w:rsidRPr="006F27D7">
        <w:rPr>
          <w:spacing w:val="-2"/>
        </w:rPr>
        <w:t xml:space="preserve"> ») ou </w:t>
      </w:r>
      <w:r w:rsidR="005F0CFF" w:rsidRPr="006F27D7">
        <w:rPr>
          <w:spacing w:val="-2"/>
        </w:rPr>
        <w:t>pour chercher à les</w:t>
      </w:r>
      <w:r w:rsidR="00B83771" w:rsidRPr="006F27D7">
        <w:rPr>
          <w:spacing w:val="-2"/>
        </w:rPr>
        <w:t xml:space="preserve"> éviter (« </w:t>
      </w:r>
      <w:r w:rsidR="00B83771" w:rsidRPr="006F27D7">
        <w:rPr>
          <w:i/>
          <w:spacing w:val="-2"/>
        </w:rPr>
        <w:t xml:space="preserve">Il y a en a qui voudraient que nous devenions nous aussi des hors-la-loi, comme tous ces délinquants ? Non, c’est à l’Etat de nous protéger, reprendre le contrôle, </w:t>
      </w:r>
      <w:r w:rsidR="008F48C4">
        <w:rPr>
          <w:i/>
          <w:spacing w:val="-2"/>
        </w:rPr>
        <w:t xml:space="preserve">par </w:t>
      </w:r>
      <w:r w:rsidR="00B83771" w:rsidRPr="006F27D7">
        <w:rPr>
          <w:i/>
          <w:spacing w:val="-2"/>
        </w:rPr>
        <w:t>la police, l’armée s’il le faut</w:t>
      </w:r>
      <w:r w:rsidR="00B83771" w:rsidRPr="006F27D7">
        <w:rPr>
          <w:spacing w:val="-2"/>
        </w:rPr>
        <w:t> »)</w:t>
      </w:r>
      <w:r w:rsidR="00644E22" w:rsidRPr="006F27D7">
        <w:rPr>
          <w:spacing w:val="-2"/>
        </w:rPr>
        <w:t>.</w:t>
      </w:r>
    </w:p>
    <w:p w:rsidR="00B83771" w:rsidRPr="004B25FD" w:rsidRDefault="006F27D7" w:rsidP="00644E22">
      <w:pPr>
        <w:spacing w:before="120" w:after="0" w:line="264" w:lineRule="auto"/>
        <w:jc w:val="both"/>
      </w:pPr>
      <w:r>
        <w:t xml:space="preserve">D’où </w:t>
      </w:r>
      <w:r w:rsidR="00B83771" w:rsidRPr="004B25FD">
        <w:t>l’incompréhension du terme de « sauvageon » (avant-même que la droite ne s’en empare) qui paraissait minorer ou nier cet enjeu (« </w:t>
      </w:r>
      <w:r w:rsidR="00B83771" w:rsidRPr="004B25FD">
        <w:rPr>
          <w:i/>
        </w:rPr>
        <w:t>Je savais bien que nous n’étions pas dans le même monde ». « Ils ne sont pas au courant de la situation réelle au bord de l’explosion qui règne en France ?</w:t>
      </w:r>
      <w:r w:rsidR="00B83771" w:rsidRPr="004B25FD">
        <w:t> »).</w:t>
      </w:r>
    </w:p>
    <w:p w:rsidR="00B83771" w:rsidRPr="004B25FD" w:rsidRDefault="00B83771" w:rsidP="00644E22">
      <w:pPr>
        <w:spacing w:before="120" w:after="0" w:line="264" w:lineRule="auto"/>
        <w:jc w:val="both"/>
      </w:pPr>
      <w:r w:rsidRPr="004B25FD">
        <w:t xml:space="preserve">Dès lors, les réponses sous forme de renforcement </w:t>
      </w:r>
      <w:r w:rsidR="005F0CFF" w:rsidRPr="004B25FD">
        <w:t xml:space="preserve">des moyens </w:t>
      </w:r>
      <w:r w:rsidRPr="004B25FD">
        <w:t xml:space="preserve">ne pouvaient pas être entendues </w:t>
      </w:r>
      <w:r w:rsidR="00D80A4B" w:rsidRPr="004B25FD">
        <w:t>(</w:t>
      </w:r>
      <w:r w:rsidRPr="004B25FD">
        <w:t>« </w:t>
      </w:r>
      <w:r w:rsidRPr="004B25FD">
        <w:rPr>
          <w:i/>
        </w:rPr>
        <w:t>On traite les cons</w:t>
      </w:r>
      <w:r w:rsidR="005F0CFF" w:rsidRPr="004B25FD">
        <w:rPr>
          <w:i/>
        </w:rPr>
        <w:t>équences mais jamais les causes</w:t>
      </w:r>
      <w:r w:rsidRPr="004B25FD">
        <w:t> »</w:t>
      </w:r>
      <w:r w:rsidR="00D80A4B" w:rsidRPr="004B25FD">
        <w:t xml:space="preserve">) </w:t>
      </w:r>
      <w:r w:rsidR="005F0CFF" w:rsidRPr="004B25FD">
        <w:t>voire à rebours de la</w:t>
      </w:r>
      <w:r w:rsidR="00D80A4B" w:rsidRPr="004B25FD">
        <w:t xml:space="preserve"> symbolique</w:t>
      </w:r>
      <w:r w:rsidRPr="004B25FD">
        <w:t xml:space="preserve"> </w:t>
      </w:r>
      <w:r w:rsidR="00D80A4B" w:rsidRPr="004B25FD">
        <w:t>(</w:t>
      </w:r>
      <w:r w:rsidRPr="004B25FD">
        <w:t>« </w:t>
      </w:r>
      <w:r w:rsidRPr="004B25FD">
        <w:rPr>
          <w:i/>
        </w:rPr>
        <w:t>Des véhicules blindés ou protégés par des grilles comme ceux utilisés en Irlande du Nord ou en Afrique du Sud durant l’apartheid ? On voit où en est de la "République apaisée" des promesses de campagne de 2012</w:t>
      </w:r>
      <w:r w:rsidR="005F0CFF" w:rsidRPr="004B25FD">
        <w:rPr>
          <w:i/>
        </w:rPr>
        <w:t>…</w:t>
      </w:r>
      <w:r w:rsidRPr="004B25FD">
        <w:t> »</w:t>
      </w:r>
      <w:r w:rsidR="00D80A4B" w:rsidRPr="004B25FD">
        <w:t>).</w:t>
      </w:r>
    </w:p>
    <w:p w:rsidR="004B25FD" w:rsidRPr="004B25FD" w:rsidRDefault="004B25FD" w:rsidP="004B25FD">
      <w:pPr>
        <w:numPr>
          <w:ilvl w:val="0"/>
          <w:numId w:val="8"/>
        </w:numPr>
        <w:spacing w:before="240" w:after="0" w:line="264" w:lineRule="auto"/>
        <w:ind w:left="0" w:hanging="284"/>
        <w:jc w:val="both"/>
      </w:pPr>
      <w:r w:rsidRPr="004B25FD">
        <w:t>Si l’ampleur de l’écho semble contenu, ces réactions renseignent sur l’évolution des regards du pays :</w:t>
      </w:r>
    </w:p>
    <w:p w:rsidR="00B83771" w:rsidRPr="004B25FD" w:rsidRDefault="00604CC7" w:rsidP="006F27D7">
      <w:pPr>
        <w:numPr>
          <w:ilvl w:val="0"/>
          <w:numId w:val="9"/>
        </w:numPr>
        <w:spacing w:before="120" w:after="0" w:line="264" w:lineRule="auto"/>
        <w:ind w:left="142" w:hanging="142"/>
        <w:jc w:val="both"/>
      </w:pPr>
      <w:r w:rsidRPr="004B25FD">
        <w:t xml:space="preserve">Elles </w:t>
      </w:r>
      <w:r w:rsidR="00B83771" w:rsidRPr="004B25FD">
        <w:t xml:space="preserve">ne sont pas comparables à 2002. En 2002, l’insécurité était d’une autre nature, </w:t>
      </w:r>
      <w:r w:rsidR="00226D94" w:rsidRPr="004B25FD">
        <w:t xml:space="preserve">vue comme </w:t>
      </w:r>
      <w:r w:rsidR="00B83771" w:rsidRPr="004B25FD">
        <w:t xml:space="preserve">une délinquance individuelle atteignant des seuils inadmissibles. L’interrogation concernait le fonctionnement de la société, sans remettre en cause son existence. C’est l’inverse aujourd’hui, où l’on </w:t>
      </w:r>
      <w:r w:rsidR="006F27D7">
        <w:t>présume</w:t>
      </w:r>
      <w:r w:rsidR="00B83771" w:rsidRPr="004B25FD">
        <w:t xml:space="preserve"> toute action violente menée au nom d’une volonté collective de destruction. Ce</w:t>
      </w:r>
      <w:r w:rsidR="00523C8B" w:rsidRPr="004B25FD">
        <w:t>ux</w:t>
      </w:r>
      <w:r w:rsidR="00B83771" w:rsidRPr="004B25FD">
        <w:t xml:space="preserve"> qui commettent ces actes ne sont plus vus comme des adversaires de la société agissant pour leur propre compte mais</w:t>
      </w:r>
      <w:r w:rsidR="00523C8B" w:rsidRPr="004B25FD">
        <w:t xml:space="preserve"> comme</w:t>
      </w:r>
      <w:r w:rsidR="00B83771" w:rsidRPr="004B25FD">
        <w:t xml:space="preserve"> des ennemis de la société.</w:t>
      </w:r>
    </w:p>
    <w:p w:rsidR="00B83771" w:rsidRPr="004B25FD" w:rsidRDefault="00B83771" w:rsidP="006F27D7">
      <w:pPr>
        <w:numPr>
          <w:ilvl w:val="0"/>
          <w:numId w:val="9"/>
        </w:numPr>
        <w:spacing w:before="120" w:after="0" w:line="264" w:lineRule="auto"/>
        <w:ind w:left="142" w:hanging="142"/>
        <w:jc w:val="both"/>
      </w:pPr>
      <w:r w:rsidRPr="004B25FD">
        <w:t xml:space="preserve">Elles ne sont pas non plus comparables à 2005. En 2005 les </w:t>
      </w:r>
      <w:r w:rsidR="008F48C4">
        <w:t>« </w:t>
      </w:r>
      <w:r w:rsidRPr="004B25FD">
        <w:t>zones de non-droit</w:t>
      </w:r>
      <w:r w:rsidR="008F48C4">
        <w:t> »</w:t>
      </w:r>
      <w:r w:rsidRPr="004B25FD">
        <w:t xml:space="preserve"> étaient</w:t>
      </w:r>
      <w:r w:rsidR="008F48C4">
        <w:t xml:space="preserve"> perçues comme</w:t>
      </w:r>
      <w:r w:rsidRPr="004B25FD">
        <w:t xml:space="preserve"> des territoires </w:t>
      </w:r>
      <w:r w:rsidRPr="004B25FD">
        <w:rPr>
          <w:i/>
        </w:rPr>
        <w:t>échappant</w:t>
      </w:r>
      <w:r w:rsidRPr="004B25FD">
        <w:t xml:space="preserve"> au droit, résultat d’une défaillance ou d’un oubli de la République. Aujourd’hui elles sont vues comme </w:t>
      </w:r>
      <w:r w:rsidRPr="008F48C4">
        <w:rPr>
          <w:i/>
        </w:rPr>
        <w:t>gagnées</w:t>
      </w:r>
      <w:r w:rsidRPr="004B25FD">
        <w:t xml:space="preserve"> (« </w:t>
      </w:r>
      <w:r w:rsidRPr="004B25FD">
        <w:rPr>
          <w:i/>
        </w:rPr>
        <w:t>comment une minorité peut prendre la majorité en otage ?</w:t>
      </w:r>
      <w:r w:rsidRPr="004B25FD">
        <w:t xml:space="preserve"> ») par des éléments organisant une volonté séparatiste dangereuse pour l’unité de la </w:t>
      </w:r>
      <w:r w:rsidR="006F27D7">
        <w:t>Nation</w:t>
      </w:r>
      <w:r w:rsidRPr="004B25FD">
        <w:t>. Les perceptions sont passées de territoires « abandonnés » à celles de territoires « perdus ».</w:t>
      </w:r>
    </w:p>
    <w:p w:rsidR="00B83771" w:rsidRPr="00644E22" w:rsidRDefault="00B83771" w:rsidP="00D80A4B">
      <w:pPr>
        <w:numPr>
          <w:ilvl w:val="0"/>
          <w:numId w:val="8"/>
        </w:numPr>
        <w:spacing w:before="240" w:after="0" w:line="264" w:lineRule="auto"/>
        <w:ind w:left="0" w:hanging="284"/>
        <w:jc w:val="both"/>
      </w:pPr>
      <w:r w:rsidRPr="00644E22">
        <w:t xml:space="preserve">Ce double renversement de regard par rapport à 2002 et 2005 en dit long sur les perceptions du moment, où la question de l’unité de la République et de ce qui nous fait tenir ensemble devient un prisme de plus en plus </w:t>
      </w:r>
      <w:r w:rsidR="00523C8B">
        <w:t>prégnant</w:t>
      </w:r>
      <w:r w:rsidRPr="00644E22">
        <w:t xml:space="preserve"> dans la compréhension et le jugement des évènements</w:t>
      </w:r>
      <w:r w:rsidR="00523C8B" w:rsidRPr="00523C8B">
        <w:t xml:space="preserve"> </w:t>
      </w:r>
      <w:r w:rsidR="00523C8B">
        <w:t>par</w:t>
      </w:r>
      <w:r w:rsidR="00523C8B" w:rsidRPr="00644E22">
        <w:t xml:space="preserve"> l’opinion</w:t>
      </w:r>
      <w:r w:rsidRPr="00644E22">
        <w:t>.</w:t>
      </w:r>
    </w:p>
    <w:p w:rsidR="006F27D7" w:rsidRDefault="006F27D7" w:rsidP="00EF10D9">
      <w:pPr>
        <w:tabs>
          <w:tab w:val="left" w:pos="7088"/>
        </w:tabs>
        <w:spacing w:before="120" w:after="0"/>
        <w:jc w:val="both"/>
      </w:pPr>
    </w:p>
    <w:p w:rsidR="00F14A40" w:rsidRDefault="00F14A40" w:rsidP="00EF10D9">
      <w:pPr>
        <w:tabs>
          <w:tab w:val="left" w:pos="7088"/>
        </w:tabs>
        <w:spacing w:before="120" w:after="0"/>
        <w:jc w:val="both"/>
      </w:pPr>
      <w:r>
        <w:tab/>
        <w:t>Adrien ABECASSIS</w:t>
      </w:r>
    </w:p>
    <w:sectPr w:rsidR="00F14A40" w:rsidSect="005F0CFF">
      <w:pgSz w:w="11906" w:h="16838"/>
      <w:pgMar w:top="737" w:right="1134" w:bottom="737" w:left="1077"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7DB0" w:rsidRDefault="00C77DB0" w:rsidP="00F14A40">
      <w:pPr>
        <w:spacing w:after="0" w:line="240" w:lineRule="auto"/>
      </w:pPr>
      <w:r>
        <w:separator/>
      </w:r>
    </w:p>
  </w:endnote>
  <w:endnote w:type="continuationSeparator" w:id="0">
    <w:p w:rsidR="00C77DB0" w:rsidRDefault="00C77DB0"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7DB0" w:rsidRDefault="00C77DB0" w:rsidP="00F14A40">
      <w:pPr>
        <w:spacing w:after="0" w:line="240" w:lineRule="auto"/>
      </w:pPr>
      <w:r>
        <w:separator/>
      </w:r>
    </w:p>
  </w:footnote>
  <w:footnote w:type="continuationSeparator" w:id="0">
    <w:p w:rsidR="00C77DB0" w:rsidRDefault="00C77DB0" w:rsidP="00F1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26F0680"/>
    <w:multiLevelType w:val="hybridMultilevel"/>
    <w:tmpl w:val="FEE6858C"/>
    <w:lvl w:ilvl="0" w:tplc="8A0EABFE">
      <w:start w:val="2"/>
      <w:numFmt w:val="bullet"/>
      <w:lvlText w:val="-"/>
      <w:lvlJc w:val="left"/>
      <w:pPr>
        <w:ind w:left="360" w:hanging="360"/>
      </w:pPr>
      <w:rPr>
        <w:rFonts w:ascii="Calibri" w:eastAsia="Calibri" w:hAnsi="Calibri" w:cs="Calibri" w:hint="default"/>
        <w:b/>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6781F55"/>
    <w:multiLevelType w:val="hybridMultilevel"/>
    <w:tmpl w:val="E4C87B3C"/>
    <w:lvl w:ilvl="0" w:tplc="040C000F">
      <w:start w:val="1"/>
      <w:numFmt w:val="decimal"/>
      <w:lvlText w:val="%1."/>
      <w:lvlJc w:val="left"/>
      <w:pPr>
        <w:ind w:left="720" w:hanging="360"/>
      </w:pPr>
    </w:lvl>
    <w:lvl w:ilvl="1" w:tplc="4AC013CC">
      <w:numFmt w:val="bullet"/>
      <w:lvlText w:val="-"/>
      <w:lvlJc w:val="left"/>
      <w:pPr>
        <w:ind w:left="1440" w:hanging="360"/>
      </w:pPr>
      <w:rPr>
        <w:rFonts w:ascii="Calibri" w:eastAsia="Calibr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1983925984">
    <w:abstractNumId w:val="5"/>
  </w:num>
  <w:num w:numId="2" w16cid:durableId="657222676">
    <w:abstractNumId w:val="3"/>
  </w:num>
  <w:num w:numId="3" w16cid:durableId="293680323">
    <w:abstractNumId w:val="4"/>
  </w:num>
  <w:num w:numId="4" w16cid:durableId="1587106283">
    <w:abstractNumId w:val="2"/>
  </w:num>
  <w:num w:numId="5" w16cid:durableId="1715764780">
    <w:abstractNumId w:val="8"/>
  </w:num>
  <w:num w:numId="6" w16cid:durableId="720979684">
    <w:abstractNumId w:val="7"/>
  </w:num>
  <w:num w:numId="7" w16cid:durableId="1334800327">
    <w:abstractNumId w:val="0"/>
  </w:num>
  <w:num w:numId="8" w16cid:durableId="1726561368">
    <w:abstractNumId w:val="6"/>
  </w:num>
  <w:num w:numId="9" w16cid:durableId="97002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057"/>
    <w:rsid w:val="000479AA"/>
    <w:rsid w:val="0008261F"/>
    <w:rsid w:val="00086A08"/>
    <w:rsid w:val="000C0521"/>
    <w:rsid w:val="000D6053"/>
    <w:rsid w:val="00144EB1"/>
    <w:rsid w:val="00146DFD"/>
    <w:rsid w:val="00196E06"/>
    <w:rsid w:val="001A1B13"/>
    <w:rsid w:val="001A6D49"/>
    <w:rsid w:val="001D0BC5"/>
    <w:rsid w:val="001D2210"/>
    <w:rsid w:val="00226D94"/>
    <w:rsid w:val="0023324B"/>
    <w:rsid w:val="0029641F"/>
    <w:rsid w:val="003059A4"/>
    <w:rsid w:val="003F331F"/>
    <w:rsid w:val="00442877"/>
    <w:rsid w:val="00476040"/>
    <w:rsid w:val="004A05A5"/>
    <w:rsid w:val="004B25FD"/>
    <w:rsid w:val="004C2405"/>
    <w:rsid w:val="004C4550"/>
    <w:rsid w:val="00511C80"/>
    <w:rsid w:val="00523C8B"/>
    <w:rsid w:val="00561698"/>
    <w:rsid w:val="005B2FFF"/>
    <w:rsid w:val="005B4DFB"/>
    <w:rsid w:val="005F0CFF"/>
    <w:rsid w:val="00604CC7"/>
    <w:rsid w:val="00605F32"/>
    <w:rsid w:val="00644E22"/>
    <w:rsid w:val="006F27D7"/>
    <w:rsid w:val="00785556"/>
    <w:rsid w:val="007A5AFF"/>
    <w:rsid w:val="007F2616"/>
    <w:rsid w:val="007F3B4D"/>
    <w:rsid w:val="0083291D"/>
    <w:rsid w:val="008568C8"/>
    <w:rsid w:val="00884A76"/>
    <w:rsid w:val="008A580B"/>
    <w:rsid w:val="008A78AF"/>
    <w:rsid w:val="008B3785"/>
    <w:rsid w:val="008D674F"/>
    <w:rsid w:val="008F48C4"/>
    <w:rsid w:val="00934E15"/>
    <w:rsid w:val="00940CB3"/>
    <w:rsid w:val="00962DA3"/>
    <w:rsid w:val="009655BF"/>
    <w:rsid w:val="009A73CD"/>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56787"/>
    <w:rsid w:val="00B64C40"/>
    <w:rsid w:val="00B83771"/>
    <w:rsid w:val="00B84BB5"/>
    <w:rsid w:val="00B85D9D"/>
    <w:rsid w:val="00BB6B9C"/>
    <w:rsid w:val="00BC2C20"/>
    <w:rsid w:val="00BE641B"/>
    <w:rsid w:val="00C43549"/>
    <w:rsid w:val="00C503C9"/>
    <w:rsid w:val="00C634F0"/>
    <w:rsid w:val="00C77DB0"/>
    <w:rsid w:val="00CA268A"/>
    <w:rsid w:val="00CB1CF4"/>
    <w:rsid w:val="00CD76BF"/>
    <w:rsid w:val="00CE7536"/>
    <w:rsid w:val="00D30F78"/>
    <w:rsid w:val="00D41E83"/>
    <w:rsid w:val="00D80A4B"/>
    <w:rsid w:val="00D8118D"/>
    <w:rsid w:val="00D9134D"/>
    <w:rsid w:val="00DB1057"/>
    <w:rsid w:val="00E702BF"/>
    <w:rsid w:val="00E71727"/>
    <w:rsid w:val="00E92CF8"/>
    <w:rsid w:val="00E95610"/>
    <w:rsid w:val="00EA41E4"/>
    <w:rsid w:val="00EF10D9"/>
    <w:rsid w:val="00EF11AE"/>
    <w:rsid w:val="00F11105"/>
    <w:rsid w:val="00F14A40"/>
    <w:rsid w:val="00F4008F"/>
    <w:rsid w:val="00F40E29"/>
    <w:rsid w:val="00F52079"/>
    <w:rsid w:val="00F7158C"/>
    <w:rsid w:val="00FC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FE8D75D-419E-499A-9A9A-4E6B7FC0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6B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D76BF"/>
    <w:rPr>
      <w:rFonts w:ascii="Arial" w:hAnsi="Arial" w:cs="Arial"/>
      <w:sz w:val="16"/>
      <w:szCs w:val="16"/>
      <w:lang w:eastAsia="en-US"/>
    </w:rPr>
  </w:style>
  <w:style w:type="paragraph" w:styleId="Header">
    <w:name w:val="header"/>
    <w:basedOn w:val="Normal"/>
    <w:link w:val="HeaderChar"/>
    <w:uiPriority w:val="99"/>
    <w:unhideWhenUsed/>
    <w:rsid w:val="00F14A40"/>
    <w:pPr>
      <w:tabs>
        <w:tab w:val="center" w:pos="4536"/>
        <w:tab w:val="right" w:pos="9072"/>
      </w:tabs>
    </w:pPr>
  </w:style>
  <w:style w:type="character" w:customStyle="1" w:styleId="HeaderChar">
    <w:name w:val="Header Char"/>
    <w:link w:val="Header"/>
    <w:uiPriority w:val="99"/>
    <w:rsid w:val="00F14A40"/>
    <w:rPr>
      <w:sz w:val="22"/>
      <w:szCs w:val="22"/>
      <w:lang w:eastAsia="en-US"/>
    </w:rPr>
  </w:style>
  <w:style w:type="paragraph" w:styleId="Footer">
    <w:name w:val="footer"/>
    <w:basedOn w:val="Normal"/>
    <w:link w:val="FooterChar"/>
    <w:uiPriority w:val="99"/>
    <w:unhideWhenUsed/>
    <w:rsid w:val="00F14A40"/>
    <w:pPr>
      <w:tabs>
        <w:tab w:val="center" w:pos="4536"/>
        <w:tab w:val="right" w:pos="9072"/>
      </w:tabs>
    </w:pPr>
  </w:style>
  <w:style w:type="character" w:customStyle="1" w:styleId="FooterChar">
    <w:name w:val="Footer Char"/>
    <w:link w:val="Footer"/>
    <w:uiPriority w:val="99"/>
    <w:rsid w:val="00F14A4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446546">
      <w:bodyDiv w:val="1"/>
      <w:marLeft w:val="0"/>
      <w:marRight w:val="0"/>
      <w:marTop w:val="0"/>
      <w:marBottom w:val="0"/>
      <w:divBdr>
        <w:top w:val="none" w:sz="0" w:space="0" w:color="auto"/>
        <w:left w:val="none" w:sz="0" w:space="0" w:color="auto"/>
        <w:bottom w:val="none" w:sz="0" w:space="0" w:color="auto"/>
        <w:right w:val="none" w:sz="0" w:space="0" w:color="auto"/>
      </w:divBdr>
    </w:div>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500</Words>
  <Characters>2850</Characters>
  <Application>Microsoft Office Word</Application>
  <DocSecurity>4</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2016-10-12T11:25:00Z</cp:lastPrinted>
  <dcterms:created xsi:type="dcterms:W3CDTF">2016-10-12T11:12:00Z</dcterms:created>
  <dcterms:modified xsi:type="dcterms:W3CDTF">2016-10-12T13:07:00Z</dcterms:modified>
</cp:coreProperties>
</file>