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132B" w:rsidRPr="007F6D2E" w:rsidRDefault="00122138" w:rsidP="00FF6799">
      <w:pPr>
        <w:pBdr>
          <w:bottom w:val="single" w:sz="4" w:space="1" w:color="auto"/>
        </w:pBd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b/>
          <w:i/>
          <w:smallCaps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b/>
          <w:i/>
          <w:smallCaps/>
          <w:color w:val="222222"/>
          <w:sz w:val="21"/>
          <w:szCs w:val="21"/>
          <w:lang w:eastAsia="fr-FR"/>
        </w:rPr>
        <w:t>Une dernière analyse des indécis, à quelques jours du vote</w:t>
      </w:r>
    </w:p>
    <w:p w:rsidR="002067ED" w:rsidRPr="007F6D2E" w:rsidRDefault="002067ED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397367" w:rsidRPr="007F6D2E" w:rsidRDefault="00E171D3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Cette élection est celle des indécis</w:t>
      </w:r>
      <w:r w:rsidR="00086749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De leur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0441D4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vote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dépendra l’issue de l’élection.</w:t>
      </w:r>
      <w:r w:rsidR="00086749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Pour 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suivre </w:t>
      </w:r>
      <w:r w:rsidR="000441D4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leurs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dynamiques, </w:t>
      </w:r>
      <w:r w:rsidR="00870EC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pas toujours visibles dans les 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intentions de vote, </w:t>
      </w:r>
      <w:r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nous avons tout au long de la campagne analysé </w:t>
      </w:r>
      <w:r w:rsidR="00A8046F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les indécisions et </w:t>
      </w:r>
      <w:r w:rsidR="00397367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hésitations du corps électoral à travers un outil inédit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construit à partir de</w:t>
      </w:r>
      <w:r w:rsidR="00870EC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probabilité</w:t>
      </w:r>
      <w:r w:rsidR="00870EC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de vote</w:t>
      </w:r>
      <w:r w:rsidR="00086749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</w:t>
      </w:r>
      <w:r w:rsidR="00086749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ans quelle mesure 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les électeurs pensent voter pour </w:t>
      </w:r>
      <w:r w:rsidR="000441D4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chaque candidat :</w:t>
      </w:r>
      <w:r w:rsidR="00086749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certain ? possible ? peu probable ? exclu ? 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Ces questions ont été posées depuis janvier dans les enquêtes </w:t>
      </w:r>
      <w:proofErr w:type="spellStart"/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Kan</w:t>
      </w:r>
      <w:r w:rsidR="000441D4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tar</w:t>
      </w:r>
      <w:proofErr w:type="spellEnd"/>
      <w:r w:rsidR="000441D4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Sofres-</w:t>
      </w:r>
      <w:proofErr w:type="spellStart"/>
      <w:r w:rsidR="000441D4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nepoint</w:t>
      </w:r>
      <w:proofErr w:type="spellEnd"/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pour Le Figaro, RTL et LCI.</w:t>
      </w:r>
      <w:r w:rsidR="000441D4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Elles permettent 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de </w:t>
      </w:r>
      <w:r w:rsidR="00397367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distinguer les socles relativement solides de chaque candidat de</w:t>
      </w:r>
      <w:r w:rsidR="00A8046F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s réserves de voix potentielles constitué</w:t>
      </w:r>
      <w:r w:rsidR="00870EC3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e</w:t>
      </w:r>
      <w:r w:rsidR="00A8046F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s d’</w:t>
      </w:r>
      <w:r w:rsidR="00397367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électeurs </w:t>
      </w:r>
      <w:r w:rsidR="000441D4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balançant entre plusieurs votes possibles</w:t>
      </w:r>
      <w:r w:rsidR="0039736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</w:t>
      </w:r>
    </w:p>
    <w:p w:rsidR="001C5752" w:rsidRDefault="001C5752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187294" w:rsidRPr="007F6D2E" w:rsidRDefault="00187294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On peut ainsi distinguer 10 électorats différents.</w:t>
      </w:r>
    </w:p>
    <w:p w:rsidR="00EE33B6" w:rsidRPr="007F6D2E" w:rsidRDefault="00EE33B6" w:rsidP="007F6D2E">
      <w:pPr>
        <w:shd w:val="clear" w:color="auto" w:fill="FFFFFF"/>
        <w:spacing w:after="0" w:line="264" w:lineRule="auto"/>
        <w:jc w:val="both"/>
        <w:rPr>
          <w:rFonts w:ascii="Arial" w:hAnsi="Arial" w:cs="Arial"/>
          <w:noProof/>
          <w:sz w:val="21"/>
          <w:szCs w:val="21"/>
          <w:lang w:eastAsia="fr-FR"/>
        </w:rPr>
      </w:pPr>
      <w:r w:rsidRPr="007F6D2E">
        <w:rPr>
          <w:rFonts w:ascii="Arial" w:hAnsi="Arial" w:cs="Arial"/>
          <w:noProof/>
          <w:sz w:val="21"/>
          <w:szCs w:val="21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481.5pt;height:315pt;visibility:visible">
            <v:imagedata r:id="rId7" o:title="" cropbottom="6813f" cropleft="4581f" cropright="4824f"/>
          </v:shape>
        </w:pict>
      </w:r>
    </w:p>
    <w:p w:rsidR="00EE33B6" w:rsidRPr="007F6D2E" w:rsidRDefault="00EE33B6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E33B6" w:rsidRPr="007F6D2E" w:rsidRDefault="00EE33B6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A8046F" w:rsidRPr="007F6D2E" w:rsidRDefault="00A8046F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Les évolutions de ces groupes permettent de retracer les dynamiques de la campagne. </w:t>
      </w:r>
      <w:r w:rsidR="001A5F1F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Elles ont d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’abord</w:t>
      </w:r>
      <w:r w:rsidR="001A5F1F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montré, pour les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1C5752" w:rsidRPr="007F6D2E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électorats-socles :</w:t>
      </w:r>
    </w:p>
    <w:p w:rsidR="001A5F1F" w:rsidRPr="007F6D2E" w:rsidRDefault="001A5F1F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1A5F1F" w:rsidRDefault="001A5F1F" w:rsidP="007F6D2E">
      <w:pPr>
        <w:numPr>
          <w:ilvl w:val="0"/>
          <w:numId w:val="2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Une érosion nette du socle de Marine</w:t>
      </w:r>
      <w:r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Le Pen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De 19% en janvier, il termine à… 10%. </w:t>
      </w:r>
      <w:r w:rsidR="0010655A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Un certain nombre d’électeurs qui n’envisageait qu’elle il y a quelques mois, pourraient désormais être tentés par d’autres candidats : Jean-Luc Mélenchon, Emmanuel Macron ou même François Fillon.</w:t>
      </w:r>
    </w:p>
    <w:p w:rsidR="007F6D2E" w:rsidRPr="007F6D2E" w:rsidRDefault="007F6D2E" w:rsidP="007F6D2E">
      <w:pPr>
        <w:shd w:val="clear" w:color="auto" w:fill="FFFFFF"/>
        <w:spacing w:after="0" w:line="264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1A5F1F" w:rsidRPr="007F6D2E" w:rsidRDefault="001A5F1F" w:rsidP="007F6D2E">
      <w:pPr>
        <w:numPr>
          <w:ilvl w:val="0"/>
          <w:numId w:val="2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Emmanuel Macron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 été le seul dont le cœur d’électorat s’est réellement consolidé et élargi : 11% en janvier, 13% en février, 16% en mars, 18% aujourd’hui.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Il a, aujourd’hui, le socle le plus solide.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Ce qui lui confère indéniablement un avantage.</w:t>
      </w:r>
    </w:p>
    <w:p w:rsidR="007F6D2E" w:rsidRPr="007F6D2E" w:rsidRDefault="007F6D2E" w:rsidP="007F6D2E">
      <w:pPr>
        <w:shd w:val="clear" w:color="auto" w:fill="FFFFFF"/>
        <w:spacing w:after="0" w:line="264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1A5F1F" w:rsidRDefault="001A5F1F" w:rsidP="007F6D2E">
      <w:pPr>
        <w:numPr>
          <w:ilvl w:val="0"/>
          <w:numId w:val="2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François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Fillon a été, tout au long de la campagne, le « candidat isolé »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Un cœur électoral très mobilisé, oscillant autour de 13-14%… mais seul. Hormis </w:t>
      </w:r>
      <w:r w:rsidR="00300EE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ce socle, il a eu </w:t>
      </w:r>
      <w:r w:rsidR="00300EE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très peu de réserves</w:t>
      </w:r>
      <w:r w:rsidR="00300EE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: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300EE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presque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aucun groupes d’indécis n’envisageait de voter pour lui</w:t>
      </w:r>
      <w:r w:rsidR="00300EE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sauf en toute fin de campagne la réapparition d’électeurs hésitants entre lui et Marine Le Pen.</w:t>
      </w:r>
    </w:p>
    <w:p w:rsidR="007F6D2E" w:rsidRPr="007F6D2E" w:rsidRDefault="007F6D2E" w:rsidP="007F6D2E">
      <w:pPr>
        <w:shd w:val="clear" w:color="auto" w:fill="FFFFFF"/>
        <w:spacing w:after="0" w:line="264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300EE3" w:rsidRDefault="00300EE3" w:rsidP="007F6D2E">
      <w:pPr>
        <w:numPr>
          <w:ilvl w:val="0"/>
          <w:numId w:val="2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Celui de </w:t>
      </w:r>
      <w:r w:rsidRPr="007F6D2E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Jean-Luc Mélenchon 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a progressé, passant de 10% en janvier à 13,5%. Mais il n’y a pas eu de cristallisation réelle suite à sa poussée.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Ses « nouveaux électeurs » restent </w:t>
      </w:r>
      <w:r w:rsidR="00A60832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ainsi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assez volatils </w:t>
      </w:r>
      <w:r w:rsidR="0010655A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et pourraient bien, s’il ne trouve pas à les retenir, </w:t>
      </w:r>
      <w:r w:rsid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retourner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pour partie à d’autres votes.</w:t>
      </w:r>
    </w:p>
    <w:p w:rsidR="007F6D2E" w:rsidRPr="007F6D2E" w:rsidRDefault="007F6D2E" w:rsidP="007F6D2E">
      <w:pPr>
        <w:shd w:val="clear" w:color="auto" w:fill="FFFFFF"/>
        <w:spacing w:after="0" w:line="264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A8046F" w:rsidRPr="007F6D2E" w:rsidRDefault="0010655A" w:rsidP="007F6D2E">
      <w:pPr>
        <w:numPr>
          <w:ilvl w:val="0"/>
          <w:numId w:val="2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Enfin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Benoît Hamon n’a pas réussi à construire un socle protecteur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 Son cœur d’électorat, stable à 10%, est très friable. C’est le seul « </w:t>
      </w:r>
      <w:r w:rsidR="00BB695A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cœur »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pour lequel les électeurs émettent également une probabilité non-nulle de voter pour d’autres candidats, en l’occurrence Jean-Luc Mélenchon et Emmanuel Macron</w:t>
      </w:r>
      <w:r w:rsidR="00870EC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ce qui fait que les intentions de vote en sa faveur sont plus faibles que ce socle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La tentation du vote-utile</w:t>
      </w:r>
      <w:r w:rsidR="00E353AC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y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est présente. Est-ce encore un </w:t>
      </w:r>
      <w:r w:rsidR="00BB695A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socle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ou </w:t>
      </w:r>
      <w:r w:rsidR="00E353AC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déjà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un groupe d’indécis ?</w:t>
      </w:r>
    </w:p>
    <w:p w:rsidR="00E171D3" w:rsidRPr="007F6D2E" w:rsidRDefault="00E171D3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171D3" w:rsidRPr="007F6D2E" w:rsidRDefault="00FB41D7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 xml:space="preserve">L’analyse des groupes </w:t>
      </w:r>
      <w:r w:rsidR="001C5752"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>d’</w:t>
      </w:r>
      <w:r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>hésitants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E353AC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ont particulièrement marqué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les </w:t>
      </w:r>
      <w:r w:rsidR="00BB695A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dynamiques</w:t>
      </w:r>
      <w:r w:rsidR="001C5752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de cette campagne :</w:t>
      </w:r>
    </w:p>
    <w:p w:rsidR="00E171D3" w:rsidRPr="007F6D2E" w:rsidRDefault="00E171D3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3E53A7" w:rsidRPr="007F6D2E" w:rsidRDefault="00BB695A" w:rsidP="007F6D2E">
      <w:pPr>
        <w:numPr>
          <w:ilvl w:val="0"/>
          <w:numId w:val="3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Le plus significatif a été 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un groupe</w:t>
      </w:r>
      <w:r w:rsidR="00E171D3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« d’indécis tendance antisystème »</w:t>
      </w:r>
      <w:r w:rsidR="00FB41D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</w:t>
      </w:r>
      <w:r w:rsidR="00E171D3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qui a hésité d’abord entre tous les candidats, puis progressivement 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entre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Marine 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Le Pen et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Emmanuel 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Macron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seulement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 De 8%, ce groupe s’est peu à peu résorbé à 4,5%. Ce</w:t>
      </w:r>
      <w:r w:rsidR="00A6083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</w:t>
      </w:r>
      <w:r w:rsidR="00E353AC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électeurs sont dans 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une logique de renversement des cadres</w:t>
      </w:r>
      <w:r w:rsidR="00E353AC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, </w:t>
      </w:r>
      <w:r w:rsidR="00A6083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mais</w:t>
      </w:r>
      <w:r w:rsidR="003E53A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hésitent entre deux façons de le faire… Ils sont </w:t>
      </w:r>
      <w:r w:rsidR="003E53A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un peu 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plus jeunes, plus féminins, et souvent plus ouvrier/employés que la moyenne. Et semble</w:t>
      </w:r>
      <w:r w:rsidR="003E53A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nt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, 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de plus en plus, pencher vers </w:t>
      </w:r>
      <w:r w:rsidR="003E53A7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un vote 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Macron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–</w:t>
      </w:r>
      <w:r w:rsidR="003E53A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expliqu</w:t>
      </w:r>
      <w:r w:rsidR="003E53A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ant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3E53A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notamment 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la consolidation de son socle, et l’érosion de Marine Le Pen.</w:t>
      </w:r>
      <w:r w:rsidR="003E53A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</w:p>
    <w:p w:rsidR="007F6D2E" w:rsidRDefault="007F6D2E" w:rsidP="007F6D2E">
      <w:pPr>
        <w:shd w:val="clear" w:color="auto" w:fill="FFFFFF"/>
        <w:spacing w:after="0" w:line="264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3E53A7" w:rsidRPr="007F6D2E" w:rsidRDefault="00E171D3" w:rsidP="007F6D2E">
      <w:pPr>
        <w:numPr>
          <w:ilvl w:val="0"/>
          <w:numId w:val="3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Un groupe plus récent </w:t>
      </w:r>
      <w:r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« d’indécis Le Pen-Mélenchon »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, arrachés au socle de </w:t>
      </w:r>
      <w:r w:rsidR="003E53A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Marine 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Le Pen, qui a porté la percée </w:t>
      </w:r>
      <w:r w:rsidR="003E53A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de Jean-Luc Mélenchon (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6%</w:t>
      </w:r>
      <w:r w:rsidR="003E53A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)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</w:t>
      </w:r>
      <w:r w:rsidR="003E53A7" w:rsidRPr="00A6083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</w:t>
      </w:r>
      <w:r w:rsidRPr="00A6083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près avoir été fortement tentés par </w:t>
      </w:r>
      <w:r w:rsidR="003E53A7" w:rsidRPr="00A6083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ce dernier</w:t>
      </w:r>
      <w:r w:rsidRPr="00A6083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ils semblent </w:t>
      </w:r>
      <w:r w:rsidR="003E53A7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toutefois aujourd’hui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revenir </w:t>
      </w:r>
      <w:r w:rsidR="003E53A7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vers Marine Le Pen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, comme </w:t>
      </w:r>
      <w:r w:rsidR="003E53A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si leur escapade vers la France Insoumise ne les avait pas 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totalement convaincus.</w:t>
      </w:r>
    </w:p>
    <w:p w:rsidR="00FB41D7" w:rsidRPr="007F6D2E" w:rsidRDefault="00FB41D7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FB41D7" w:rsidRPr="007F6D2E" w:rsidRDefault="00FB41D7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Deux </w:t>
      </w:r>
      <w:r w:rsidR="00E353AC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autres 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groupes d’indécis sont enfin stratégiques dans cette toute fin de campagne :</w:t>
      </w:r>
    </w:p>
    <w:p w:rsidR="00E171D3" w:rsidRPr="007F6D2E" w:rsidRDefault="00E171D3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171D3" w:rsidRDefault="00E171D3" w:rsidP="007F6D2E">
      <w:pPr>
        <w:numPr>
          <w:ilvl w:val="0"/>
          <w:numId w:val="3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Un groupe de </w:t>
      </w:r>
      <w:r w:rsidR="00FB41D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« </w:t>
      </w:r>
      <w:r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vrais indécis</w:t>
      </w:r>
      <w:r w:rsidR="00FB41D7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 »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FB41D7" w:rsidRPr="007F6D2E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représentant 7% de l’électorat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</w:t>
      </w:r>
      <w:r w:rsidR="00FB41D7"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 xml:space="preserve">Plus jeunes que la moyenne, </w:t>
      </w:r>
      <w:r w:rsidR="005D22E0"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>e</w:t>
      </w:r>
      <w:r w:rsidR="00FB41D7"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>xprim</w:t>
      </w:r>
      <w:r w:rsidR="005D22E0"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 xml:space="preserve">ant peu de sympathies partisanes, </w:t>
      </w:r>
      <w:r w:rsidR="005D22E0" w:rsidRPr="007F6D2E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c</w:t>
      </w:r>
      <w:r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es Français viennent de se projeter dans l’élection à quelques jours du choix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</w:t>
      </w:r>
      <w:r w:rsidR="00870EC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</w:t>
      </w:r>
      <w:r w:rsidR="00FB41D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s ne sont </w:t>
      </w:r>
      <w:r w:rsidR="00870EC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cependant </w:t>
      </w:r>
      <w:r w:rsidR="00FB41D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pas certains de voter : ils </w:t>
      </w:r>
      <w:r w:rsidR="00FB41D7"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>n’expriment de probabilité de vote forte pour personne</w:t>
      </w:r>
      <w:r w:rsidR="005D22E0"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 xml:space="preserve"> - a</w:t>
      </w:r>
      <w:r w:rsidR="00FB41D7"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 xml:space="preserve">u mieux, moyenne. </w:t>
      </w:r>
      <w:r w:rsidR="00FB41D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Ils penchent pour les candidats les plus visibles</w:t>
      </w:r>
      <w:r w:rsidR="005D22E0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:</w:t>
      </w:r>
      <w:r w:rsidR="00FB41D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Macron, Mélenc</w:t>
      </w:r>
      <w:r w:rsidR="005D22E0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hon, </w:t>
      </w:r>
      <w:r w:rsidR="00E353AC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un peu </w:t>
      </w:r>
      <w:r w:rsidR="005D22E0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Fillon, </w:t>
      </w:r>
      <w:r w:rsidR="00E353AC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moins </w:t>
      </w:r>
      <w:r w:rsidR="005D22E0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Hamon.</w:t>
      </w:r>
      <w:r w:rsidR="00FB41D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Avec </w:t>
      </w:r>
      <w:r w:rsidR="005D22E0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une particularité très notable :</w:t>
      </w:r>
      <w:r w:rsidR="00FB41D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FB41D7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ils sont rétifs à Marine Le Pen</w:t>
      </w:r>
      <w:r w:rsidR="00FB41D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</w:t>
      </w:r>
      <w:r w:rsidR="005D22E0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Ce sont, potentiellement, </w:t>
      </w:r>
      <w:r w:rsidR="005D22E0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d</w:t>
      </w:r>
      <w:r w:rsidR="00FB41D7"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es recrues du vote utile</w:t>
      </w:r>
      <w:r w:rsidR="005D22E0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FB41D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qui pourraient aller aux urnes </w:t>
      </w:r>
      <w:r w:rsidR="005D22E0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soutenir le meilleur candidat </w:t>
      </w:r>
      <w:r w:rsidR="00FB41D7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pour éviter Marine Le Pen.</w:t>
      </w:r>
    </w:p>
    <w:p w:rsidR="007F6D2E" w:rsidRPr="007F6D2E" w:rsidRDefault="007F6D2E" w:rsidP="007F6D2E">
      <w:pPr>
        <w:shd w:val="clear" w:color="auto" w:fill="FFFFFF"/>
        <w:spacing w:after="0" w:line="264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171D3" w:rsidRPr="007F6D2E" w:rsidRDefault="005D22E0" w:rsidP="007F6D2E">
      <w:pPr>
        <w:numPr>
          <w:ilvl w:val="0"/>
          <w:numId w:val="3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 xml:space="preserve">Enfin un nouveau groupe a surgi ces derniers jours, des </w:t>
      </w:r>
      <w:r w:rsidRPr="007F6D2E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« indécis Le Pen-Fillon »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arrachés au socle de Marine Le Pen</w:t>
      </w:r>
      <w:r w:rsidR="00E353AC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(5,5%)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</w:t>
      </w:r>
      <w:r w:rsidRPr="007F6D2E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 xml:space="preserve"> 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Leur profil-type :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des sympathisants Républicains tentés par le FN, 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penchant vers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Marine 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Le Pen mais n’excluant pas, </w:t>
      </w:r>
      <w:r w:rsidR="00E171D3" w:rsidRPr="00A60832">
        <w:rPr>
          <w:rFonts w:ascii="Arial" w:eastAsia="Times New Roman" w:hAnsi="Arial" w:cs="Arial"/>
          <w:b/>
          <w:i/>
          <w:color w:val="222222"/>
          <w:sz w:val="21"/>
          <w:szCs w:val="21"/>
          <w:lang w:eastAsia="fr-FR"/>
        </w:rPr>
        <w:t>in fine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, de revenir vers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François 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Fillon. </w:t>
      </w:r>
      <w:r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U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ne bataille </w:t>
      </w:r>
      <w:r w:rsidR="00870EC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se joue là</w:t>
      </w:r>
      <w:r w:rsidR="00870EC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M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arine Le Pen a senti le danger et durci son d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iscours. Elle garde de l’avance</w:t>
      </w:r>
      <w:r w:rsidR="00870EC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et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1C5752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François Fillon devra pour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1C5752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les convaincre aller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les chercher loin, au risque de se couper d</w:t>
      </w:r>
      <w:r w:rsidR="001C5752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u dernier groupe 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venu </w:t>
      </w:r>
      <w:r w:rsidR="001C5752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d’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indécis rétif</w:t>
      </w:r>
      <w:r w:rsidR="00870EC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</w:t>
      </w:r>
      <w:r w:rsidR="00E171D3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au FN. </w:t>
      </w:r>
      <w:r w:rsidR="001C5752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La tâche sera d’autant plus délicate que 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ces </w:t>
      </w:r>
      <w:r w:rsidR="00870EC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« </w:t>
      </w:r>
      <w:r w:rsidR="001C5752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indécis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Le Pen-Fillon</w:t>
      </w:r>
      <w:r w:rsidR="001C5752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 »</w:t>
      </w:r>
      <w:r w:rsidR="00E171D3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hésitent aussi</w:t>
      </w:r>
      <w:r w:rsidR="001C5752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avec</w:t>
      </w:r>
      <w:r w:rsid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…</w:t>
      </w:r>
      <w:r w:rsidR="001C5752" w:rsidRPr="00A60832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Nicolas Dupont-Aignan</w:t>
      </w:r>
      <w:r w:rsidR="001C5752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</w:t>
      </w:r>
    </w:p>
    <w:p w:rsidR="00BB695A" w:rsidRPr="007F6D2E" w:rsidRDefault="00BB695A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860EC8" w:rsidRPr="007F6D2E" w:rsidRDefault="00D474B0" w:rsidP="007F6D2E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Ces quatre groupes d’</w:t>
      </w:r>
      <w:r w:rsidR="00EE33B6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hésitants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</w:t>
      </w:r>
      <w:r w:rsidR="00EE33B6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représent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</w:t>
      </w:r>
      <w:r w:rsidR="00EE33B6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nt 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toujours</w:t>
      </w:r>
      <w:r w:rsidR="00EE33B6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, à quelques jours du vote, </w:t>
      </w:r>
      <w:r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près de 25% du corps électoral,</w:t>
      </w:r>
      <w:r w:rsidR="00EE33B6" w:rsidRP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détiennent les dernières clés de l’élection.</w:t>
      </w:r>
      <w:r w:rsid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Mais </w:t>
      </w:r>
      <w:r w:rsidR="00A6083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leurs hésitations ne sont pas équivalentes… et l’</w:t>
      </w:r>
      <w:r w:rsid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on </w:t>
      </w:r>
      <w:r w:rsidR="00D0560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décèle</w:t>
      </w:r>
      <w:r w:rsidR="00A6083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avec cette méthodologie, où sont l</w:t>
      </w:r>
      <w:r w:rsid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es </w:t>
      </w:r>
      <w:r w:rsidR="00D0560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principales </w:t>
      </w:r>
      <w:r w:rsidR="007F6D2E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dynamiques./.</w:t>
      </w:r>
    </w:p>
    <w:sectPr w:rsidR="00860EC8" w:rsidRPr="007F6D2E" w:rsidSect="00FF6799">
      <w:headerReference w:type="first" r:id="rId8"/>
      <w:pgSz w:w="11906" w:h="16838"/>
      <w:pgMar w:top="967" w:right="1134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6AEE" w:rsidRDefault="00DB6AEE" w:rsidP="00FF6799">
      <w:pPr>
        <w:spacing w:after="0" w:line="240" w:lineRule="auto"/>
      </w:pPr>
      <w:r>
        <w:separator/>
      </w:r>
    </w:p>
  </w:endnote>
  <w:endnote w:type="continuationSeparator" w:id="0">
    <w:p w:rsidR="00DB6AEE" w:rsidRDefault="00DB6AEE" w:rsidP="00FF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6AEE" w:rsidRDefault="00DB6AEE" w:rsidP="00FF6799">
      <w:pPr>
        <w:spacing w:after="0" w:line="240" w:lineRule="auto"/>
      </w:pPr>
      <w:r>
        <w:separator/>
      </w:r>
    </w:p>
  </w:footnote>
  <w:footnote w:type="continuationSeparator" w:id="0">
    <w:p w:rsidR="00DB6AEE" w:rsidRDefault="00DB6AEE" w:rsidP="00FF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F6799" w:rsidRPr="00FF6799" w:rsidRDefault="00FF6799" w:rsidP="00FF6799">
    <w:pPr>
      <w:pStyle w:val="Header"/>
      <w:spacing w:after="0"/>
      <w:jc w:val="right"/>
      <w:rPr>
        <w:rFonts w:ascii="Arial" w:hAnsi="Arial" w:cs="Arial"/>
        <w:i/>
        <w:color w:val="808080"/>
        <w:sz w:val="20"/>
      </w:rPr>
    </w:pPr>
    <w:r w:rsidRPr="00FF6799">
      <w:rPr>
        <w:rFonts w:ascii="Arial" w:hAnsi="Arial" w:cs="Arial"/>
        <w:i/>
        <w:color w:val="808080"/>
        <w:sz w:val="20"/>
      </w:rPr>
      <w:t>20/04/2017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23209"/>
    <w:multiLevelType w:val="hybridMultilevel"/>
    <w:tmpl w:val="96E0BDE0"/>
    <w:lvl w:ilvl="0" w:tplc="BFC2F9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27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D62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8878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A73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E03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46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8F6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9AB3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95B7C"/>
    <w:multiLevelType w:val="hybridMultilevel"/>
    <w:tmpl w:val="D706BB16"/>
    <w:lvl w:ilvl="0" w:tplc="15583670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B27D8"/>
    <w:multiLevelType w:val="hybridMultilevel"/>
    <w:tmpl w:val="62B8ACB6"/>
    <w:lvl w:ilvl="0" w:tplc="737CC1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96F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96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A26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696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72D6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05B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CFE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A27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0041008">
    <w:abstractNumId w:val="1"/>
  </w:num>
  <w:num w:numId="2" w16cid:durableId="1754007820">
    <w:abstractNumId w:val="2"/>
  </w:num>
  <w:num w:numId="3" w16cid:durableId="123616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32B"/>
    <w:rsid w:val="00015F3D"/>
    <w:rsid w:val="000441D4"/>
    <w:rsid w:val="00076B60"/>
    <w:rsid w:val="00086749"/>
    <w:rsid w:val="00094D38"/>
    <w:rsid w:val="000C15AD"/>
    <w:rsid w:val="000C624F"/>
    <w:rsid w:val="000F60D5"/>
    <w:rsid w:val="0010655A"/>
    <w:rsid w:val="00116BDB"/>
    <w:rsid w:val="00122138"/>
    <w:rsid w:val="00154725"/>
    <w:rsid w:val="00156966"/>
    <w:rsid w:val="00164BC3"/>
    <w:rsid w:val="00171E66"/>
    <w:rsid w:val="00187294"/>
    <w:rsid w:val="001925BF"/>
    <w:rsid w:val="001A5F1F"/>
    <w:rsid w:val="001C5752"/>
    <w:rsid w:val="001D10DB"/>
    <w:rsid w:val="002067ED"/>
    <w:rsid w:val="00256BCD"/>
    <w:rsid w:val="002B529E"/>
    <w:rsid w:val="002D6867"/>
    <w:rsid w:val="00300EE3"/>
    <w:rsid w:val="00377787"/>
    <w:rsid w:val="0039637B"/>
    <w:rsid w:val="00397367"/>
    <w:rsid w:val="003E53A7"/>
    <w:rsid w:val="00405922"/>
    <w:rsid w:val="00433798"/>
    <w:rsid w:val="00440F5A"/>
    <w:rsid w:val="00450C20"/>
    <w:rsid w:val="004548A6"/>
    <w:rsid w:val="00571D7F"/>
    <w:rsid w:val="005D22E0"/>
    <w:rsid w:val="005D76A4"/>
    <w:rsid w:val="0061281F"/>
    <w:rsid w:val="00622B1F"/>
    <w:rsid w:val="006577B6"/>
    <w:rsid w:val="00694C16"/>
    <w:rsid w:val="006E367B"/>
    <w:rsid w:val="00710C7B"/>
    <w:rsid w:val="0072145F"/>
    <w:rsid w:val="007C157A"/>
    <w:rsid w:val="007C4124"/>
    <w:rsid w:val="007E1E73"/>
    <w:rsid w:val="007F056E"/>
    <w:rsid w:val="007F6D2E"/>
    <w:rsid w:val="008106E9"/>
    <w:rsid w:val="0085726F"/>
    <w:rsid w:val="00860EC8"/>
    <w:rsid w:val="00870EC3"/>
    <w:rsid w:val="00890D66"/>
    <w:rsid w:val="008C3E29"/>
    <w:rsid w:val="008E1E19"/>
    <w:rsid w:val="00906066"/>
    <w:rsid w:val="00911FDF"/>
    <w:rsid w:val="00974D8C"/>
    <w:rsid w:val="00987E2B"/>
    <w:rsid w:val="009A2A32"/>
    <w:rsid w:val="009A6639"/>
    <w:rsid w:val="009C5ACD"/>
    <w:rsid w:val="00A2132B"/>
    <w:rsid w:val="00A60832"/>
    <w:rsid w:val="00A772FA"/>
    <w:rsid w:val="00A8046F"/>
    <w:rsid w:val="00A80FCE"/>
    <w:rsid w:val="00AB2067"/>
    <w:rsid w:val="00AB450B"/>
    <w:rsid w:val="00AD77F2"/>
    <w:rsid w:val="00B04161"/>
    <w:rsid w:val="00B06FDF"/>
    <w:rsid w:val="00B21018"/>
    <w:rsid w:val="00B302C6"/>
    <w:rsid w:val="00B86D35"/>
    <w:rsid w:val="00BB695A"/>
    <w:rsid w:val="00BE44F8"/>
    <w:rsid w:val="00BE641B"/>
    <w:rsid w:val="00BF5AEF"/>
    <w:rsid w:val="00C207BD"/>
    <w:rsid w:val="00CA6E3D"/>
    <w:rsid w:val="00CC382B"/>
    <w:rsid w:val="00CF28AF"/>
    <w:rsid w:val="00D0560D"/>
    <w:rsid w:val="00D2421B"/>
    <w:rsid w:val="00D26B07"/>
    <w:rsid w:val="00D471A9"/>
    <w:rsid w:val="00D474B0"/>
    <w:rsid w:val="00D5681F"/>
    <w:rsid w:val="00D80F6B"/>
    <w:rsid w:val="00DB6AEE"/>
    <w:rsid w:val="00DC78C9"/>
    <w:rsid w:val="00E171D3"/>
    <w:rsid w:val="00E353AC"/>
    <w:rsid w:val="00E36F65"/>
    <w:rsid w:val="00E6785B"/>
    <w:rsid w:val="00E70BAB"/>
    <w:rsid w:val="00E93C71"/>
    <w:rsid w:val="00E957AA"/>
    <w:rsid w:val="00EE33B6"/>
    <w:rsid w:val="00F02344"/>
    <w:rsid w:val="00F045E8"/>
    <w:rsid w:val="00F61829"/>
    <w:rsid w:val="00FB41D7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97D5B4-B657-4D19-9FC5-584A1191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65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7B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577B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7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77B6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77B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D6867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FF67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F67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67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F679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7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58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799</Words>
  <Characters>4558</Characters>
  <Application>Microsoft Office Word</Application>
  <DocSecurity>4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8</cp:revision>
  <cp:lastPrinted>2017-04-20T09:20:00Z</cp:lastPrinted>
  <dcterms:created xsi:type="dcterms:W3CDTF">2017-04-20T09:47:00Z</dcterms:created>
  <dcterms:modified xsi:type="dcterms:W3CDTF">2017-04-20T14:18:00Z</dcterms:modified>
</cp:coreProperties>
</file>