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27" w:name="X72d0c1eb75cab36292aa03021e977887bdfd005"/>
    <w:p>
      <w:pPr>
        <w:pStyle w:val="Heading1"/>
      </w:pPr>
      <w:r>
        <w:t xml:space="preserve">1. Mise à jour du</w:t>
      </w:r>
      <w:r>
        <w:t xml:space="preserve"> </w:t>
      </w:r>
      <w:r>
        <w:rPr>
          <w:b/>
          <w:bCs/>
        </w:rPr>
        <w:t xml:space="preserve">baseline</w:t>
      </w:r>
      <w:r>
        <w:t xml:space="preserve"> </w:t>
      </w:r>
      <w:r>
        <w:t xml:space="preserve">(Budget 2026 officiel, incluant PLFSS adopté)</w:t>
      </w:r>
    </w:p>
    <w:p>
      <w:pPr>
        <w:pStyle w:val="FirstParagraph"/>
      </w:pPr>
      <w:r>
        <w:t xml:space="preserve">Pour aligner le</w:t>
      </w:r>
      <w:r>
        <w:t xml:space="preserve"> </w:t>
      </w:r>
      <w:r>
        <w:rPr>
          <w:b/>
          <w:bCs/>
        </w:rPr>
        <w:t xml:space="preserve">baseline 2026</w:t>
      </w:r>
      <w:r>
        <w:t xml:space="preserve"> </w:t>
      </w:r>
      <w:r>
        <w:t xml:space="preserve">sur le budget officiel tel qu’adopté (y compris les ajustements du PLFSS par l’Assemblée nationale), il faut mettre à jour les fichiers de données concernés. L’année 2026 correspond au périmètre APU (Administrations Publiques, code S13).</w:t>
      </w:r>
    </w:p>
    <w:p>
      <w:pPr>
        <w:pStyle w:val="Compact"/>
        <w:numPr>
          <w:ilvl w:val="0"/>
          <w:numId w:val="1001"/>
        </w:numPr>
      </w:pPr>
      <w:r>
        <w:rPr>
          <w:b/>
          <w:bCs/>
        </w:rPr>
        <w:t xml:space="preserve">Fichier impacté :</w:t>
      </w:r>
      <w:r>
        <w:t xml:space="preserve"> </w:t>
      </w:r>
      <w:r>
        <w:rPr>
          <w:rStyle w:val="VerbatimChar"/>
        </w:rPr>
        <w:t xml:space="preserve">data/cache/lego_baseline_2026.json</w:t>
      </w:r>
      <w:r>
        <w:t xml:space="preserve"> </w:t>
      </w:r>
      <w:r>
        <w:t xml:space="preserve">– Ce fichier JSON contient la ventilation des dépenses et recettes du baseline 2026.</w:t>
      </w:r>
    </w:p>
    <w:p>
      <w:pPr>
        <w:pStyle w:val="FirstParagraph"/>
      </w:pPr>
      <w:r>
        <w:t xml:space="preserve">Les modifications nécessaires sont détaillées ci-dessous. (Le format diff indique les lignes à changer dans le JSON) :</w:t>
      </w:r>
    </w:p>
    <w:p>
      <w:pPr>
        <w:pStyle w:val="SourceCode"/>
      </w:pPr>
      <w:r>
        <w:rPr>
          <w:rStyle w:val="VerbatimChar"/>
        </w:rPr>
        <w:t xml:space="preserve">@@ data/cache/lego_baseline_2026.json @@</w:t>
      </w:r>
      <w:r>
        <w:br/>
      </w:r>
      <w:r>
        <w:rPr>
          <w:rStyle w:val="VerbatimChar"/>
        </w:rPr>
        <w:t xml:space="preserve">   "year": 2026,</w:t>
      </w:r>
      <w:r>
        <w:br/>
      </w:r>
      <w:r>
        <w:rPr>
          <w:rStyle w:val="VerbatimChar"/>
        </w:rPr>
        <w:t xml:space="preserve">   "scope": "S13",</w:t>
      </w:r>
      <w:r>
        <w:br/>
      </w:r>
      <w:r>
        <w:rPr>
          <w:rStyle w:val="VerbatimChar"/>
        </w:rPr>
        <w:t xml:space="preserve">   "country": "FR",</w:t>
      </w:r>
      <w:r>
        <w:br/>
      </w:r>
      <w:r>
        <w:rPr>
          <w:rStyle w:val="VerbatimChar"/>
        </w:rPr>
        <w:t xml:space="preserve">-  "pib_eur": 3061000000000.0,</w:t>
      </w:r>
      <w:r>
        <w:br/>
      </w:r>
      <w:r>
        <w:rPr>
          <w:rStyle w:val="VerbatimChar"/>
        </w:rPr>
        <w:t xml:space="preserve">-  "depenses_total_eur": 1726404000000.0,</w:t>
      </w:r>
      <w:r>
        <w:br/>
      </w:r>
      <w:r>
        <w:rPr>
          <w:rStyle w:val="VerbatimChar"/>
        </w:rPr>
        <w:t xml:space="preserve">-  "recettes_total_eur": 1582537000000.0,</w:t>
      </w:r>
      <w:r>
        <w:br/>
      </w:r>
      <w:r>
        <w:rPr>
          <w:rStyle w:val="VerbatimChar"/>
        </w:rPr>
        <w:t xml:space="preserve">+  "pib_eur": 3061000000000.0,</w:t>
      </w:r>
      <w:r>
        <w:br/>
      </w:r>
      <w:r>
        <w:rPr>
          <w:rStyle w:val="VerbatimChar"/>
        </w:rPr>
        <w:t xml:space="preserve">+  "depenses_total_eur": 1734404000000.0,  /* Dépenses totales ajustées au budget adopté (~ +8,0 Md€) */</w:t>
      </w:r>
      <w:r>
        <w:br/>
      </w:r>
      <w:r>
        <w:rPr>
          <w:rStyle w:val="VerbatimChar"/>
        </w:rPr>
        <w:t xml:space="preserve">+  "recettes_total_eur": 1585537000000.0,  /* Recettes totales ajustées (~ +3,0 Md€) */</w:t>
      </w:r>
      <w:r>
        <w:br/>
      </w:r>
      <w:r>
        <w:rPr>
          <w:rStyle w:val="VerbatimChar"/>
        </w:rPr>
        <w:t xml:space="preserve">   "pieces": [</w:t>
      </w:r>
      <w:r>
        <w:br/>
      </w:r>
      <w:r>
        <w:rPr>
          <w:rStyle w:val="VerbatimChar"/>
        </w:rPr>
        <w:t xml:space="preserve">       { "id": "ed_schools_staff_ops", "type": "expenditure", "amount_eur": 50860194548.850334, "share": 0.02946364047538808 },</w:t>
      </w:r>
      <w:r>
        <w:br/>
      </w:r>
      <w:r>
        <w:rPr>
          <w:rStyle w:val="VerbatimChar"/>
        </w:rPr>
        <w:t xml:space="preserve">       { "id": "ed_secondary", "type": "expenditure", "amount_eur": 48498231240.215065, "share": 0.02809372874797061 },</w:t>
      </w:r>
      <w:r>
        <w:br/>
      </w:r>
      <w:r>
        <w:rPr>
          <w:rStyle w:val="VerbatimChar"/>
        </w:rPr>
        <w:t xml:space="preserve">       { "id": "ed_universities", "type": "expenditure", "amount_eur": 50393679442.699486, "share": 0.029193848594109012 },</w:t>
      </w:r>
      <w:r>
        <w:br/>
      </w:r>
      <w:r>
        <w:rPr>
          <w:rStyle w:val="VerbatimChar"/>
        </w:rPr>
        <w:t xml:space="preserve">       { "id": "ed_research_public", "type": "expenditure", "amount_eur": 49935466140.88861, "share": 0.028927067208476275 },</w:t>
      </w:r>
      <w:r>
        <w:br/>
      </w:r>
      <w:r>
        <w:rPr>
          <w:rStyle w:val="VerbatimChar"/>
        </w:rPr>
        <w:t xml:space="preserve">@@ ajustements des dépenses de santé (ONDAM +3%) @@</w:t>
      </w:r>
      <w:r>
        <w:br/>
      </w:r>
      <w:r>
        <w:rPr>
          <w:rStyle w:val="VerbatimChar"/>
        </w:rPr>
        <w:t xml:space="preserve">-    { "id": "health_hospitals", "type": "expenditure", "amount_eur": 111800000000.0, "share": 0.0647737277362581 },</w:t>
      </w:r>
      <w:r>
        <w:br/>
      </w:r>
      <w:r>
        <w:rPr>
          <w:rStyle w:val="VerbatimChar"/>
        </w:rPr>
        <w:t xml:space="preserve">-    { "id": "health_citycare", "type": "expenditure", "amount_eur": 114900000000.0, "share": 0.06652820959679936 },</w:t>
      </w:r>
      <w:r>
        <w:br/>
      </w:r>
      <w:r>
        <w:rPr>
          <w:rStyle w:val="VerbatimChar"/>
        </w:rPr>
        <w:t xml:space="preserve">-    { "id": "health_public_health", "type": "expenditure", "amount_eur": 43700000000.0, "share": 0.02530039963000667 },</w:t>
      </w:r>
      <w:r>
        <w:br/>
      </w:r>
      <w:r>
        <w:rPr>
          <w:rStyle w:val="VerbatimChar"/>
        </w:rPr>
        <w:t xml:space="preserve">+    { "id": "health_hospitals", "type": "expenditure", "amount_eur": 113200000000.0, "share": 0.0656 },  /* +1,4 Md€ : ONDAM rehaussé à +3%[1] */</w:t>
      </w:r>
      <w:r>
        <w:br/>
      </w:r>
      <w:r>
        <w:rPr>
          <w:rStyle w:val="VerbatimChar"/>
        </w:rPr>
        <w:t xml:space="preserve">+    { "id": "health_citycare", "type": "expenditure", "amount_eur": 116300000000.0, "share": 0.0672 },   /* +1,4 Md€ : ONDAM soins de ville augmenté */</w:t>
      </w:r>
      <w:r>
        <w:br/>
      </w:r>
      <w:r>
        <w:rPr>
          <w:rStyle w:val="VerbatimChar"/>
        </w:rPr>
        <w:t xml:space="preserve">+    { "id": "health_public_health", "type": "expenditure", "amount_eur": 44270000000.0, "share": 0.0256 },/* +0,57 Md€ : ONDAM autres (prévention, etc.) */</w:t>
      </w:r>
      <w:r>
        <w:br/>
      </w:r>
      <w:r>
        <w:rPr>
          <w:rStyle w:val="VerbatimChar"/>
        </w:rPr>
        <w:t xml:space="preserve">@@ ajustements des prestations sociales (suppression du gel) @@</w:t>
      </w:r>
      <w:r>
        <w:br/>
      </w:r>
      <w:r>
        <w:rPr>
          <w:rStyle w:val="VerbatimChar"/>
        </w:rPr>
        <w:t xml:space="preserve">-    { "id": "soc_pensions", "type": "expenditure", "amount_eur": 431000000000.0, "share": 0.24951862722580902 },</w:t>
      </w:r>
      <w:r>
        <w:br/>
      </w:r>
      <w:r>
        <w:rPr>
          <w:rStyle w:val="VerbatimChar"/>
        </w:rPr>
        <w:t xml:space="preserve">-    { "id": "soc_family", "type": "expenditure", "amount_eur": 59400000000.0, "share": 0.034400925754348455 },</w:t>
      </w:r>
      <w:r>
        <w:br/>
      </w:r>
      <w:r>
        <w:rPr>
          <w:rStyle w:val="VerbatimChar"/>
        </w:rPr>
        <w:t xml:space="preserve">-    { "id": "soc_unemployment", "type": "expenditure", "amount_eur": 43800000000.0, "share": 0.02536602714812299 },</w:t>
      </w:r>
      <w:r>
        <w:br/>
      </w:r>
      <w:r>
        <w:rPr>
          <w:rStyle w:val="VerbatimChar"/>
        </w:rPr>
        <w:t xml:space="preserve">-    { "id": "soc_disability_dependence", "type": "expenditure", "amount_eur": 43500000000.0, "share": 0.025191356135593345 },</w:t>
      </w:r>
      <w:r>
        <w:br/>
      </w:r>
      <w:r>
        <w:rPr>
          <w:rStyle w:val="VerbatimChar"/>
        </w:rPr>
        <w:t xml:space="preserve">+    { "id": "soc_pensions", "type": "expenditure", "amount_eur": 435000000000.0, "share": 0.2517 },       /* +4,0 Md€ : indexation 2026 rétablie (pas d'\"année blanche\")[2] */</w:t>
      </w:r>
      <w:r>
        <w:br/>
      </w:r>
      <w:r>
        <w:rPr>
          <w:rStyle w:val="VerbatimChar"/>
        </w:rPr>
        <w:t xml:space="preserve">+    { "id": "soc_family", "type": "expenditure", "amount_eur": 59900000000.0, "share": 0.0347 },         /* +0,5 Md€ : prestations familiales revalorisées normalement */</w:t>
      </w:r>
      <w:r>
        <w:br/>
      </w:r>
      <w:r>
        <w:rPr>
          <w:rStyle w:val="VerbatimChar"/>
        </w:rPr>
        <w:t xml:space="preserve">+    { "id": "soc_unemployment", "type": "expenditure", "amount_eur": 43800000000.0, "share": 0.0252 },   /* (inchangé) */</w:t>
      </w:r>
      <w:r>
        <w:br/>
      </w:r>
      <w:r>
        <w:rPr>
          <w:rStyle w:val="VerbatimChar"/>
        </w:rPr>
        <w:t xml:space="preserve">+    { "id": "soc_disability_dependence", "type": "expenditure", "amount_eur": 44000000000.0, "share": 0.0254 }, /* +0,5 Md€ : minima sociaux non gelés */</w:t>
      </w:r>
      <w:r>
        <w:br/>
      </w:r>
      <w:r>
        <w:rPr>
          <w:rStyle w:val="VerbatimChar"/>
        </w:rPr>
        <w:t xml:space="preserve">@@ ajustements des recettes (mesures fiscales adoptées) @@</w:t>
      </w:r>
      <w:r>
        <w:br/>
      </w:r>
      <w:r>
        <w:rPr>
          <w:rStyle w:val="VerbatimChar"/>
        </w:rPr>
        <w:t xml:space="preserve">-    { "id": "rev_csg_crds", "type": "revenue", "amount_eur": 0.0, "share": null },</w:t>
      </w:r>
      <w:r>
        <w:br/>
      </w:r>
      <w:r>
        <w:rPr>
          <w:rStyle w:val="VerbatimChar"/>
        </w:rPr>
        <w:t xml:space="preserve">+    { "id": "rev_csg_crds", "type": "revenue", "amount_eur": 1500000000.0, "share": null },  /* +1,5 Md€ : hausse CSG sur dividendes/plus-values[3] */</w:t>
      </w:r>
      <w:r>
        <w:br/>
      </w:r>
      <w:r>
        <w:rPr>
          <w:rStyle w:val="VerbatimChar"/>
        </w:rPr>
        <w:t xml:space="preserve">     { "id": "rev_soc_employee", "type": "revenue", "amount_eur": 348688163684.41144, "share": null },</w:t>
      </w:r>
      <w:r>
        <w:br/>
      </w:r>
      <w:r>
        <w:rPr>
          <w:rStyle w:val="VerbatimChar"/>
        </w:rPr>
        <w:t xml:space="preserve">     { "id": "rev_soc_employer", "type": "revenue", "amount_eur": 60906660597.674095, "share": null },</w:t>
      </w:r>
      <w:r>
        <w:br/>
      </w:r>
      <w:r>
        <w:rPr>
          <w:rStyle w:val="VerbatimChar"/>
        </w:rPr>
        <w:t xml:space="preserve">     { "id": "rev_soc_self", "type": "revenue", "amount_eur": 165356170277.81253, "share": null },</w:t>
      </w:r>
      <w:r>
        <w:br/>
      </w:r>
      <w:r>
        <w:rPr>
          <w:rStyle w:val="VerbatimChar"/>
        </w:rPr>
        <w:t xml:space="preserve">@@ (le reste du fichier reste inchangé) @@</w:t>
      </w:r>
    </w:p>
    <w:p>
      <w:pPr>
        <w:pStyle w:val="FirstParagraph"/>
      </w:pPr>
      <w:r>
        <w:rPr>
          <w:b/>
          <w:bCs/>
        </w:rPr>
        <w:t xml:space="preserve">Explications des modifications :</w:t>
      </w:r>
      <w:r>
        <w:t xml:space="preserve"> </w:t>
      </w:r>
      <w:r>
        <w:t xml:space="preserve">Les dépenses de santé (</w:t>
      </w:r>
      <w:r>
        <w:rPr>
          <w:b/>
          <w:bCs/>
        </w:rPr>
        <w:t xml:space="preserve">health_*</w:t>
      </w:r>
      <w:r>
        <w:t xml:space="preserve">), indexées par l’Ondam, ont été relevées d’environ +3,0 à +3,5 Mds € pour 2026 afin de passer d’une progression de +1,6% à +3%</w:t>
      </w:r>
      <w:hyperlink r:id="rId21">
        <w:r>
          <w:rPr>
            <w:rStyle w:val="Hyperlink"/>
          </w:rPr>
          <w:t xml:space="preserve">[1]</w:t>
        </w:r>
      </w:hyperlink>
      <w:r>
        <w:t xml:space="preserve">. Les prestations sociales (</w:t>
      </w:r>
      <w:r>
        <w:rPr>
          <w:b/>
          <w:bCs/>
        </w:rPr>
        <w:t xml:space="preserve">soc_pensions</w:t>
      </w:r>
      <w:r>
        <w:t xml:space="preserve">,</w:t>
      </w:r>
      <w:r>
        <w:t xml:space="preserve"> </w:t>
      </w:r>
      <w:r>
        <w:rPr>
          <w:b/>
          <w:bCs/>
        </w:rPr>
        <w:t xml:space="preserve">soc_family</w:t>
      </w:r>
      <w:r>
        <w:t xml:space="preserve">,</w:t>
      </w:r>
      <w:r>
        <w:t xml:space="preserve"> </w:t>
      </w:r>
      <w:r>
        <w:rPr>
          <w:b/>
          <w:bCs/>
        </w:rPr>
        <w:t xml:space="preserve">soc_disability_dependence</w:t>
      </w:r>
      <w:r>
        <w:t xml:space="preserve">) ont été réajustées à la hausse (au total ~+5 Mds €) pour refléter la suppression du gel d’indexation des prestations en 2026</w:t>
      </w:r>
      <w:hyperlink r:id="rId22">
        <w:r>
          <w:rPr>
            <w:rStyle w:val="Hyperlink"/>
          </w:rPr>
          <w:t xml:space="preserve">[2]</w:t>
        </w:r>
      </w:hyperlink>
      <w:r>
        <w:t xml:space="preserve"> </w:t>
      </w:r>
      <w:r>
        <w:t xml:space="preserve">– l’Assemblée ayant annulé l’“année blanche” initialement envisagée.</w:t>
      </w:r>
    </w:p>
    <w:p>
      <w:pPr>
        <w:pStyle w:val="BodyText"/>
      </w:pPr>
      <w:r>
        <w:t xml:space="preserve">En recettes, on introduit notamment la hausse de CSG sur les revenus du capital (+1,4 point sur dividendes) rapportant ~1,5 Md€</w:t>
      </w:r>
      <w:hyperlink r:id="rId23">
        <w:r>
          <w:rPr>
            <w:rStyle w:val="Hyperlink"/>
          </w:rPr>
          <w:t xml:space="preserve">[3]</w:t>
        </w:r>
      </w:hyperlink>
      <w:r>
        <w:t xml:space="preserve">. D’autres mesures fiscales compensatrices (taxe GAFAM accrue, etc.) ont des impacts plus limités ou incertains et ne sont pas explicitement détaillées ici, mais le total</w:t>
      </w:r>
      <w:r>
        <w:t xml:space="preserve"> </w:t>
      </w:r>
      <w:r>
        <w:rPr>
          <w:b/>
          <w:bCs/>
        </w:rPr>
        <w:t xml:space="preserve">recettes_total_eur</w:t>
      </w:r>
      <w:r>
        <w:t xml:space="preserve"> </w:t>
      </w:r>
      <w:r>
        <w:t xml:space="preserve">a été ajusté prudemment à la marge (+3 Mds€) pour refléter l’ensemble des hausses de recettes adoptées (CSG capital, taxation des mutuelles santé, etc.</w:t>
      </w:r>
      <w:hyperlink r:id="rId24">
        <w:r>
          <w:rPr>
            <w:rStyle w:val="Hyperlink"/>
          </w:rPr>
          <w:t xml:space="preserve">[4]</w:t>
        </w:r>
      </w:hyperlink>
      <w:r>
        <w:t xml:space="preserve">).</w:t>
      </w:r>
    </w:p>
    <w:p>
      <w:pPr>
        <w:pStyle w:val="BodyText"/>
      </w:pPr>
      <w:r>
        <w:t xml:space="preserve">Ces changements aboutissent à un déficit public 2026 d’environ</w:t>
      </w:r>
      <w:r>
        <w:t xml:space="preserve"> </w:t>
      </w:r>
      <w:r>
        <w:rPr>
          <w:b/>
          <w:bCs/>
        </w:rPr>
        <w:t xml:space="preserve">148,9 Md€</w:t>
      </w:r>
      <w:r>
        <w:t xml:space="preserve">, soit ~</w:t>
      </w:r>
      <w:r>
        <w:rPr>
          <w:b/>
          <w:bCs/>
        </w:rPr>
        <w:t xml:space="preserve">4,86% du PIB</w:t>
      </w:r>
      <w:r>
        <w:t xml:space="preserve">, cohérent avec le budget effectif après débats (déficit de la Sécu porté à ~19,4 Md€ vs ~14,6 initialement</w:t>
      </w:r>
      <w:hyperlink r:id="rId25">
        <w:r>
          <w:rPr>
            <w:rStyle w:val="Hyperlink"/>
          </w:rPr>
          <w:t xml:space="preserve">[5]</w:t>
        </w:r>
      </w:hyperlink>
      <w:hyperlink r:id="rId26">
        <w:r>
          <w:rPr>
            <w:rStyle w:val="Hyperlink"/>
          </w:rPr>
          <w:t xml:space="preserve">[6]</w:t>
        </w:r>
      </w:hyperlink>
      <w:r>
        <w:t xml:space="preserve">). Le baseline est ainsi à jour avec</w:t>
      </w:r>
      <w:r>
        <w:t xml:space="preserve"> </w:t>
      </w:r>
      <w:r>
        <w:rPr>
          <w:b/>
          <w:bCs/>
        </w:rPr>
        <w:t xml:space="preserve">le budget 2026 officiel</w:t>
      </w:r>
      <w:r>
        <w:t xml:space="preserve">, incluant les mesures du PLFSS adopté.</w:t>
      </w:r>
    </w:p>
    <w:p>
      <w:pPr>
        <w:pStyle w:val="BodyText"/>
      </w:pPr>
      <w:r>
        <w:t xml:space="preserve">&lt;br/&gt;</w:t>
      </w:r>
    </w:p>
    <w:bookmarkEnd w:id="27"/>
    <w:bookmarkStart w:id="31" w:name="Xd21e7bf0a6e49e7c6d367119ee21088e9ea5bf7"/>
    <w:p>
      <w:pPr>
        <w:pStyle w:val="Heading1"/>
      </w:pPr>
      <w:r>
        <w:t xml:space="preserve">2. Catalogue des principales réformes/amendements (débat budgétaire 2026) –</w:t>
      </w:r>
      <w:r>
        <w:t xml:space="preserve"> </w:t>
      </w:r>
      <w:r>
        <w:rPr>
          <w:b/>
          <w:bCs/>
        </w:rPr>
        <w:t xml:space="preserve">JSON</w:t>
      </w:r>
      <w:r>
        <w:t xml:space="preserve"> </w:t>
      </w:r>
      <w:r>
        <w:t xml:space="preserve">🔧</w:t>
      </w:r>
    </w:p>
    <w:p>
      <w:pPr>
        <w:pStyle w:val="FirstParagraph"/>
      </w:pPr>
      <w:r>
        <w:t xml:space="preserve">La liste suivante recense</w:t>
      </w:r>
      <w:r>
        <w:t xml:space="preserve"> </w:t>
      </w:r>
      <w:r>
        <w:rPr>
          <w:b/>
          <w:bCs/>
        </w:rPr>
        <w:t xml:space="preserve">les amendements majeurs débattus</w:t>
      </w:r>
      <w:r>
        <w:t xml:space="preserve"> </w:t>
      </w:r>
      <w:r>
        <w:t xml:space="preserve">lors de l’examen du budget 2026 (PLF</w:t>
      </w:r>
      <w:r>
        <w:t xml:space="preserve"> </w:t>
      </w:r>
      <w:r>
        <w:rPr>
          <w:i/>
          <w:iCs/>
        </w:rPr>
        <w:t xml:space="preserve">et</w:t>
      </w:r>
      <w:r>
        <w:t xml:space="preserve"> </w:t>
      </w:r>
      <w:r>
        <w:t xml:space="preserve">PLFSS) à l’Assemblée nationale – y compris ceux finalement écartés. Ces mesures phares sont présentées sous forme d’objets JSON, pouvant être intégrés en tête du</w:t>
      </w:r>
      <w:r>
        <w:t xml:space="preserve"> </w:t>
      </w:r>
      <w:r>
        <w:rPr>
          <w:b/>
          <w:bCs/>
        </w:rPr>
        <w:t xml:space="preserve">catalogue de réformes</w:t>
      </w:r>
      <w:r>
        <w:t xml:space="preserve"> </w:t>
      </w:r>
      <w:r>
        <w:t xml:space="preserve">(Policy Catalog) avec un indicateur spécial (</w:t>
      </w:r>
      <w:r>
        <w:rPr>
          <w:rStyle w:val="VerbatimChar"/>
        </w:rPr>
        <w:t xml:space="preserve">"major_amendment": true</w:t>
      </w:r>
      <w:r>
        <w:t xml:space="preserve">) signalant qu’il s’agit d’amendements significatifs du débat parlementaire :</w:t>
      </w:r>
    </w:p>
    <w:p>
      <w:pPr>
        <w:pStyle w:val="SourceCode"/>
      </w:pPr>
      <w:r>
        <w:rPr>
          <w:rStyle w:val="VerbatimChar"/>
        </w:rPr>
        <w:t xml:space="preserve">[</w:t>
      </w:r>
      <w:r>
        <w:br/>
      </w:r>
      <w:r>
        <w:rPr>
          <w:rStyle w:val="VerbatimChar"/>
        </w:rPr>
        <w:t xml:space="preserve">  {</w:t>
      </w:r>
      <w:r>
        <w:br/>
      </w:r>
      <w:r>
        <w:rPr>
          <w:rStyle w:val="VerbatimChar"/>
        </w:rPr>
        <w:t xml:space="preserve">    "id": "amend_ifi_to_fortune_improductive",</w:t>
      </w:r>
      <w:r>
        <w:br/>
      </w:r>
      <w:r>
        <w:rPr>
          <w:rStyle w:val="VerbatimChar"/>
        </w:rPr>
        <w:t xml:space="preserve">    "family": "TAXES",</w:t>
      </w:r>
      <w:r>
        <w:br/>
      </w:r>
      <w:r>
        <w:rPr>
          <w:rStyle w:val="VerbatimChar"/>
        </w:rPr>
        <w:t xml:space="preserve">    "label": "Remplacer l’IFI par un impôt sur la fortune improductive",</w:t>
      </w:r>
      <w:r>
        <w:br/>
      </w:r>
      <w:r>
        <w:rPr>
          <w:rStyle w:val="VerbatimChar"/>
        </w:rPr>
        <w:t xml:space="preserve">    "description": "Suppression de l’Impôt sur la fortune immobilière (IFI) et création d’un nouvel impôt visant le patrimoine non productif (biens somptuaires, actifs non investis)[7].",</w:t>
      </w:r>
      <w:r>
        <w:br/>
      </w:r>
      <w:r>
        <w:rPr>
          <w:rStyle w:val="VerbatimChar"/>
        </w:rPr>
        <w:t xml:space="preserve">    "major_amendment": true,</w:t>
      </w:r>
      <w:r>
        <w:br/>
      </w:r>
      <w:r>
        <w:rPr>
          <w:rStyle w:val="VerbatimChar"/>
        </w:rPr>
        <w:t xml:space="preserve">    "sources": ["Assemblée nat. 2025, amendements PLF[7]"]</w:t>
      </w:r>
      <w:r>
        <w:br/>
      </w:r>
      <w:r>
        <w:rPr>
          <w:rStyle w:val="VerbatimChar"/>
        </w:rPr>
        <w:t xml:space="preserve">  },</w:t>
      </w:r>
      <w:r>
        <w:br/>
      </w:r>
      <w:r>
        <w:rPr>
          <w:rStyle w:val="VerbatimChar"/>
        </w:rPr>
        <w:t xml:space="preserve">  {</w:t>
      </w:r>
      <w:r>
        <w:br/>
      </w:r>
      <w:r>
        <w:rPr>
          <w:rStyle w:val="VerbatimChar"/>
        </w:rPr>
        <w:t xml:space="preserve">    "id": "amend_ir_bracket_indexation_1pct",</w:t>
      </w:r>
      <w:r>
        <w:br/>
      </w:r>
      <w:r>
        <w:rPr>
          <w:rStyle w:val="VerbatimChar"/>
        </w:rPr>
        <w:t xml:space="preserve">    "family": "TAXES",</w:t>
      </w:r>
      <w:r>
        <w:br/>
      </w:r>
      <w:r>
        <w:rPr>
          <w:rStyle w:val="VerbatimChar"/>
        </w:rPr>
        <w:t xml:space="preserve">    "label": "Indexation limitée du barème de l'IR à +1,1%",</w:t>
      </w:r>
      <w:r>
        <w:br/>
      </w:r>
      <w:r>
        <w:rPr>
          <w:rStyle w:val="VerbatimChar"/>
        </w:rPr>
        <w:t xml:space="preserve">    "description": "Revalorisation des tranches du barème de l’impôt sur le revenu de seulement +1,1% pour 2026 (soit en deçà de l’inflation prévue)[8].",</w:t>
      </w:r>
      <w:r>
        <w:br/>
      </w:r>
      <w:r>
        <w:rPr>
          <w:rStyle w:val="VerbatimChar"/>
        </w:rPr>
        <w:t xml:space="preserve">    "major_amendment": true,</w:t>
      </w:r>
      <w:r>
        <w:br/>
      </w:r>
      <w:r>
        <w:rPr>
          <w:rStyle w:val="VerbatimChar"/>
        </w:rPr>
        <w:t xml:space="preserve">    "sources": ["Assemblée nat., PLF 2026[8]"]</w:t>
      </w:r>
      <w:r>
        <w:br/>
      </w:r>
      <w:r>
        <w:rPr>
          <w:rStyle w:val="VerbatimChar"/>
        </w:rPr>
        <w:t xml:space="preserve">  },</w:t>
      </w:r>
      <w:r>
        <w:br/>
      </w:r>
      <w:r>
        <w:rPr>
          <w:rStyle w:val="VerbatimChar"/>
        </w:rPr>
        <w:t xml:space="preserve">  {</w:t>
      </w:r>
      <w:r>
        <w:br/>
      </w:r>
      <w:r>
        <w:rPr>
          <w:rStyle w:val="VerbatimChar"/>
        </w:rPr>
        <w:t xml:space="preserve">    "id": "amend_alimony_tax_exemption",</w:t>
      </w:r>
      <w:r>
        <w:br/>
      </w:r>
      <w:r>
        <w:rPr>
          <w:rStyle w:val="VerbatimChar"/>
        </w:rPr>
        <w:t xml:space="preserve">    "family": "TAXES",</w:t>
      </w:r>
      <w:r>
        <w:br/>
      </w:r>
      <w:r>
        <w:rPr>
          <w:rStyle w:val="VerbatimChar"/>
        </w:rPr>
        <w:t xml:space="preserve">    "label": "Défiscalisation des pensions alimentaires (plafond)",</w:t>
      </w:r>
      <w:r>
        <w:br/>
      </w:r>
      <w:r>
        <w:rPr>
          <w:rStyle w:val="VerbatimChar"/>
        </w:rPr>
        <w:t xml:space="preserve">    "description": "Exonérer d’impôt sur le revenu les pensions alimentaires perçues, dans la limite de 4 000 € par enfant (et 12 000 € par an au total)[8].",</w:t>
      </w:r>
      <w:r>
        <w:br/>
      </w:r>
      <w:r>
        <w:rPr>
          <w:rStyle w:val="VerbatimChar"/>
        </w:rPr>
        <w:t xml:space="preserve">    "major_amendment": true,</w:t>
      </w:r>
      <w:r>
        <w:br/>
      </w:r>
      <w:r>
        <w:rPr>
          <w:rStyle w:val="VerbatimChar"/>
        </w:rPr>
        <w:t xml:space="preserve">    "sources": ["Assemblée nat., PLF 2026[9]"]</w:t>
      </w:r>
      <w:r>
        <w:br/>
      </w:r>
      <w:r>
        <w:rPr>
          <w:rStyle w:val="VerbatimChar"/>
        </w:rPr>
        <w:t xml:space="preserve">  },</w:t>
      </w:r>
      <w:r>
        <w:br/>
      </w:r>
      <w:r>
        <w:rPr>
          <w:rStyle w:val="VerbatimChar"/>
        </w:rPr>
        <w:t xml:space="preserve">  {</w:t>
      </w:r>
      <w:r>
        <w:br/>
      </w:r>
      <w:r>
        <w:rPr>
          <w:rStyle w:val="VerbatimChar"/>
        </w:rPr>
        <w:t xml:space="preserve">    "id": "amend_home_service_credit_cap",</w:t>
      </w:r>
      <w:r>
        <w:br/>
      </w:r>
      <w:r>
        <w:rPr>
          <w:rStyle w:val="VerbatimChar"/>
        </w:rPr>
        <w:t xml:space="preserve">    "family": "TAXES",</w:t>
      </w:r>
      <w:r>
        <w:br/>
      </w:r>
      <w:r>
        <w:rPr>
          <w:rStyle w:val="VerbatimChar"/>
        </w:rPr>
        <w:t xml:space="preserve">    "label": "Abaissement du plafond du crédit d’impôt services à la personne",</w:t>
      </w:r>
      <w:r>
        <w:br/>
      </w:r>
      <w:r>
        <w:rPr>
          <w:rStyle w:val="VerbatimChar"/>
        </w:rPr>
        <w:t xml:space="preserve">    "description": "Réduire le plafond des dépenses ouvrant droit au crédit d’impôt pour l’emploi à domicile de 12 000 € à 10 000 € par an, limitant l’avantage fiscal accordé[10].",</w:t>
      </w:r>
      <w:r>
        <w:br/>
      </w:r>
      <w:r>
        <w:rPr>
          <w:rStyle w:val="VerbatimChar"/>
        </w:rPr>
        <w:t xml:space="preserve">    "major_amendment": true,</w:t>
      </w:r>
      <w:r>
        <w:br/>
      </w:r>
      <w:r>
        <w:rPr>
          <w:rStyle w:val="VerbatimChar"/>
        </w:rPr>
        <w:t xml:space="preserve">    "sources": ["Assemblée nat., PLF 2026[10]"]</w:t>
      </w:r>
      <w:r>
        <w:br/>
      </w:r>
      <w:r>
        <w:rPr>
          <w:rStyle w:val="VerbatimChar"/>
        </w:rPr>
        <w:t xml:space="preserve">  },</w:t>
      </w:r>
      <w:r>
        <w:br/>
      </w:r>
      <w:r>
        <w:rPr>
          <w:rStyle w:val="VerbatimChar"/>
        </w:rPr>
        <w:t xml:space="preserve">  {</w:t>
      </w:r>
      <w:r>
        <w:br/>
      </w:r>
      <w:r>
        <w:rPr>
          <w:rStyle w:val="VerbatimChar"/>
        </w:rPr>
        <w:t xml:space="preserve">    "id": "amend_dependence_reduction_to_credit",</w:t>
      </w:r>
      <w:r>
        <w:br/>
      </w:r>
      <w:r>
        <w:rPr>
          <w:rStyle w:val="VerbatimChar"/>
        </w:rPr>
        <w:t xml:space="preserve">    "family": "TAXES",</w:t>
      </w:r>
      <w:r>
        <w:br/>
      </w:r>
      <w:r>
        <w:rPr>
          <w:rStyle w:val="VerbatimChar"/>
        </w:rPr>
        <w:t xml:space="preserve">    "label": "Transformation de la réduction d’impôt dépendance en crédit d’impôt",</w:t>
      </w:r>
      <w:r>
        <w:br/>
      </w:r>
      <w:r>
        <w:rPr>
          <w:rStyle w:val="VerbatimChar"/>
        </w:rPr>
        <w:t xml:space="preserve">    "description": "Convertir la réduction d’impôt pour dépenses liées à la dépendance (personnes âgées dépendantes) en un crédit d’impôt remboursable, afin d’en faire bénéficier même les ménages non-imposables[11].",</w:t>
      </w:r>
      <w:r>
        <w:br/>
      </w:r>
      <w:r>
        <w:rPr>
          <w:rStyle w:val="VerbatimChar"/>
        </w:rPr>
        <w:t xml:space="preserve">    "major_amendment": true,</w:t>
      </w:r>
      <w:r>
        <w:br/>
      </w:r>
      <w:r>
        <w:rPr>
          <w:rStyle w:val="VerbatimChar"/>
        </w:rPr>
        <w:t xml:space="preserve">    "sources": ["Assemblée nat., PLF 2026[11]"]</w:t>
      </w:r>
      <w:r>
        <w:br/>
      </w:r>
      <w:r>
        <w:rPr>
          <w:rStyle w:val="VerbatimChar"/>
        </w:rPr>
        <w:t xml:space="preserve">  },</w:t>
      </w:r>
      <w:r>
        <w:br/>
      </w:r>
      <w:r>
        <w:rPr>
          <w:rStyle w:val="VerbatimChar"/>
        </w:rPr>
        <w:t xml:space="preserve">  {</w:t>
      </w:r>
      <w:r>
        <w:br/>
      </w:r>
      <w:r>
        <w:rPr>
          <w:rStyle w:val="VerbatimChar"/>
        </w:rPr>
        <w:t xml:space="preserve">    "id": "amend_extend_tips_exemption",</w:t>
      </w:r>
      <w:r>
        <w:br/>
      </w:r>
      <w:r>
        <w:rPr>
          <w:rStyle w:val="VerbatimChar"/>
        </w:rPr>
        <w:t xml:space="preserve">    "family": "TAXES",</w:t>
      </w:r>
      <w:r>
        <w:br/>
      </w:r>
      <w:r>
        <w:rPr>
          <w:rStyle w:val="VerbatimChar"/>
        </w:rPr>
        <w:t xml:space="preserve">    "label": "Prorogation de l’exonération fiscale des pourboires",</w:t>
      </w:r>
      <w:r>
        <w:br/>
      </w:r>
      <w:r>
        <w:rPr>
          <w:rStyle w:val="VerbatimChar"/>
        </w:rPr>
        <w:t xml:space="preserve">    "description": "Prolonger jusqu’à fin 2028 l’exonération d’impôt sur le revenu des pourboires perçus par les salariés (notamment dans la restauration), mesure initialement temporaire[12].",</w:t>
      </w:r>
      <w:r>
        <w:br/>
      </w:r>
      <w:r>
        <w:rPr>
          <w:rStyle w:val="VerbatimChar"/>
        </w:rPr>
        <w:t xml:space="preserve">    "major_amendment": true,</w:t>
      </w:r>
      <w:r>
        <w:br/>
      </w:r>
      <w:r>
        <w:rPr>
          <w:rStyle w:val="VerbatimChar"/>
        </w:rPr>
        <w:t xml:space="preserve">    "sources": ["Assemblée nat., PLF 2026[12]"]</w:t>
      </w:r>
      <w:r>
        <w:br/>
      </w:r>
      <w:r>
        <w:rPr>
          <w:rStyle w:val="VerbatimChar"/>
        </w:rPr>
        <w:t xml:space="preserve">  },</w:t>
      </w:r>
      <w:r>
        <w:br/>
      </w:r>
      <w:r>
        <w:rPr>
          <w:rStyle w:val="VerbatimChar"/>
        </w:rPr>
        <w:t xml:space="preserve">  {</w:t>
      </w:r>
      <w:r>
        <w:br/>
      </w:r>
      <w:r>
        <w:rPr>
          <w:rStyle w:val="VerbatimChar"/>
        </w:rPr>
        <w:t xml:space="preserve">    "id": "amend_high_income_surtax_permanent",</w:t>
      </w:r>
      <w:r>
        <w:br/>
      </w:r>
      <w:r>
        <w:rPr>
          <w:rStyle w:val="VerbatimChar"/>
        </w:rPr>
        <w:t xml:space="preserve">    "family": "TAXES",</w:t>
      </w:r>
      <w:r>
        <w:br/>
      </w:r>
      <w:r>
        <w:rPr>
          <w:rStyle w:val="VerbatimChar"/>
        </w:rPr>
        <w:t xml:space="preserve">    "label": "Pérennisation de la contribution exceptionnelle hauts revenus",</w:t>
      </w:r>
      <w:r>
        <w:br/>
      </w:r>
      <w:r>
        <w:rPr>
          <w:rStyle w:val="VerbatimChar"/>
        </w:rPr>
        <w:t xml:space="preserve">    "description": "Maintenir au-delà de 2026 la contribution fiscale additionnelle sur les très hauts revenus (instaurée initialement en 2012), au lieu de la laisser expirer fin 2025[13].",</w:t>
      </w:r>
      <w:r>
        <w:br/>
      </w:r>
      <w:r>
        <w:rPr>
          <w:rStyle w:val="VerbatimChar"/>
        </w:rPr>
        <w:t xml:space="preserve">    "major_amendment": true,</w:t>
      </w:r>
      <w:r>
        <w:br/>
      </w:r>
      <w:r>
        <w:rPr>
          <w:rStyle w:val="VerbatimChar"/>
        </w:rPr>
        <w:t xml:space="preserve">    "sources": ["Assemblée nat., PLF 2026[13]"]</w:t>
      </w:r>
      <w:r>
        <w:br/>
      </w:r>
      <w:r>
        <w:rPr>
          <w:rStyle w:val="VerbatimChar"/>
        </w:rPr>
        <w:t xml:space="preserve">  },</w:t>
      </w:r>
      <w:r>
        <w:br/>
      </w:r>
      <w:r>
        <w:rPr>
          <w:rStyle w:val="VerbatimChar"/>
        </w:rPr>
        <w:t xml:space="preserve">  {</w:t>
      </w:r>
      <w:r>
        <w:br/>
      </w:r>
      <w:r>
        <w:rPr>
          <w:rStyle w:val="VerbatimChar"/>
        </w:rPr>
        <w:t xml:space="preserve">    "id": "amend_return_exit_tax",</w:t>
      </w:r>
      <w:r>
        <w:br/>
      </w:r>
      <w:r>
        <w:rPr>
          <w:rStyle w:val="VerbatimChar"/>
        </w:rPr>
        <w:t xml:space="preserve">    "family": "TAXES",</w:t>
      </w:r>
      <w:r>
        <w:br/>
      </w:r>
      <w:r>
        <w:rPr>
          <w:rStyle w:val="VerbatimChar"/>
        </w:rPr>
        <w:t xml:space="preserve">    "label": "Rétablissement de l’Exit Tax (version antérieure à 2019)",</w:t>
      </w:r>
      <w:r>
        <w:br/>
      </w:r>
      <w:r>
        <w:rPr>
          <w:rStyle w:val="VerbatimChar"/>
        </w:rPr>
        <w:t xml:space="preserve">    "description": "Réintroduire l’« Exit Tax » sur les plus-values latentes en cas d’expatriation, avec le régime antérieur à 2019 (imposition annulée seulement après 15 ans de résidence fiscale à l’étranger, contre 2 ans aujourd’hui)[14].",</w:t>
      </w:r>
      <w:r>
        <w:br/>
      </w:r>
      <w:r>
        <w:rPr>
          <w:rStyle w:val="VerbatimChar"/>
        </w:rPr>
        <w:t xml:space="preserve">    "major_amendment": true,</w:t>
      </w:r>
      <w:r>
        <w:br/>
      </w:r>
      <w:r>
        <w:rPr>
          <w:rStyle w:val="VerbatimChar"/>
        </w:rPr>
        <w:t xml:space="preserve">    "sources": ["Assemblée nat., amend. PLF[14]"]</w:t>
      </w:r>
      <w:r>
        <w:br/>
      </w:r>
      <w:r>
        <w:rPr>
          <w:rStyle w:val="VerbatimChar"/>
        </w:rPr>
        <w:t xml:space="preserve">  },</w:t>
      </w:r>
      <w:r>
        <w:br/>
      </w:r>
      <w:r>
        <w:rPr>
          <w:rStyle w:val="VerbatimChar"/>
        </w:rPr>
        <w:t xml:space="preserve">  {</w:t>
      </w:r>
      <w:r>
        <w:br/>
      </w:r>
      <w:r>
        <w:rPr>
          <w:rStyle w:val="VerbatimChar"/>
        </w:rPr>
        <w:t xml:space="preserve">    "id": "amend_one_time_donation_exemption",</w:t>
      </w:r>
      <w:r>
        <w:br/>
      </w:r>
      <w:r>
        <w:rPr>
          <w:rStyle w:val="VerbatimChar"/>
        </w:rPr>
        <w:t xml:space="preserve">    "family": "TAXES",</w:t>
      </w:r>
      <w:r>
        <w:br/>
      </w:r>
      <w:r>
        <w:rPr>
          <w:rStyle w:val="VerbatimChar"/>
        </w:rPr>
        <w:t xml:space="preserve">    "label": "Don familial exceptionnel exonéré jusqu’à 152 500 € en 2026",</w:t>
      </w:r>
      <w:r>
        <w:br/>
      </w:r>
      <w:r>
        <w:rPr>
          <w:rStyle w:val="VerbatimChar"/>
        </w:rPr>
        <w:t xml:space="preserve">    "description": "Instaurer une exonération unique de droits de donation à hauteur de 152 500 € pour les dons effectués en 2026 au profit d’un descendant (enfant, petit-enfant) ou conjoint[15].",</w:t>
      </w:r>
      <w:r>
        <w:br/>
      </w:r>
      <w:r>
        <w:rPr>
          <w:rStyle w:val="VerbatimChar"/>
        </w:rPr>
        <w:t xml:space="preserve">    "major_amendment": true,</w:t>
      </w:r>
      <w:r>
        <w:br/>
      </w:r>
      <w:r>
        <w:rPr>
          <w:rStyle w:val="VerbatimChar"/>
        </w:rPr>
        <w:t xml:space="preserve">    "sources": ["Assemblée nat., PLF 2026[15]"]</w:t>
      </w:r>
      <w:r>
        <w:br/>
      </w:r>
      <w:r>
        <w:rPr>
          <w:rStyle w:val="VerbatimChar"/>
        </w:rPr>
        <w:t xml:space="preserve">  },</w:t>
      </w:r>
      <w:r>
        <w:br/>
      </w:r>
      <w:r>
        <w:rPr>
          <w:rStyle w:val="VerbatimChar"/>
        </w:rPr>
        <w:t xml:space="preserve">  {</w:t>
      </w:r>
      <w:r>
        <w:br/>
      </w:r>
      <w:r>
        <w:rPr>
          <w:rStyle w:val="VerbatimChar"/>
        </w:rPr>
        <w:t xml:space="preserve">    "id": "amend_ald_sickleave_exempt_ir",</w:t>
      </w:r>
      <w:r>
        <w:br/>
      </w:r>
      <w:r>
        <w:rPr>
          <w:rStyle w:val="VerbatimChar"/>
        </w:rPr>
        <w:t xml:space="preserve">    "family": "TAXES",</w:t>
      </w:r>
      <w:r>
        <w:br/>
      </w:r>
      <w:r>
        <w:rPr>
          <w:rStyle w:val="VerbatimChar"/>
        </w:rPr>
        <w:t xml:space="preserve">    "label": "Maintien de l’exonération fiscale des IJ maladie (ALD)",</w:t>
      </w:r>
      <w:r>
        <w:br/>
      </w:r>
      <w:r>
        <w:rPr>
          <w:rStyle w:val="VerbatimChar"/>
        </w:rPr>
        <w:t xml:space="preserve">    "description": "Conserver l’exonération d’impôt sur le revenu pour les indemnités journalières versées lors d’un arrêt maladie de longue durée (affection longue durée), alors qu’une fiscalisation était envisagée[16].",</w:t>
      </w:r>
      <w:r>
        <w:br/>
      </w:r>
      <w:r>
        <w:rPr>
          <w:rStyle w:val="VerbatimChar"/>
        </w:rPr>
        <w:t xml:space="preserve">    "major_amendment": true,</w:t>
      </w:r>
      <w:r>
        <w:br/>
      </w:r>
      <w:r>
        <w:rPr>
          <w:rStyle w:val="VerbatimChar"/>
        </w:rPr>
        <w:t xml:space="preserve">    "sources": ["Assemblée nat., PLF 2026[17]"]</w:t>
      </w:r>
      <w:r>
        <w:br/>
      </w:r>
      <w:r>
        <w:rPr>
          <w:rStyle w:val="VerbatimChar"/>
        </w:rPr>
        <w:t xml:space="preserve">  },</w:t>
      </w:r>
      <w:r>
        <w:br/>
      </w:r>
      <w:r>
        <w:rPr>
          <w:rStyle w:val="VerbatimChar"/>
        </w:rPr>
        <w:t xml:space="preserve">  {</w:t>
      </w:r>
      <w:r>
        <w:br/>
      </w:r>
      <w:r>
        <w:rPr>
          <w:rStyle w:val="VerbatimChar"/>
        </w:rPr>
        <w:t xml:space="preserve">    "id": "amend_school_fees_tax_reduction",</w:t>
      </w:r>
      <w:r>
        <w:br/>
      </w:r>
      <w:r>
        <w:rPr>
          <w:rStyle w:val="VerbatimChar"/>
        </w:rPr>
        <w:t xml:space="preserve">    "family": "TAXES",</w:t>
      </w:r>
      <w:r>
        <w:br/>
      </w:r>
      <w:r>
        <w:rPr>
          <w:rStyle w:val="VerbatimChar"/>
        </w:rPr>
        <w:t xml:space="preserve">    "label": "Maintien de la réduction d’impôt pour frais de scolarité",</w:t>
      </w:r>
      <w:r>
        <w:br/>
      </w:r>
      <w:r>
        <w:rPr>
          <w:rStyle w:val="VerbatimChar"/>
        </w:rPr>
        <w:t xml:space="preserve">    "description": "Préserver l’avantage fiscal accordé aux familles au titre des frais de scolarité des enfants (collège, lycée, supérieur), alors que sa suppression était initialement prévue[17].",</w:t>
      </w:r>
      <w:r>
        <w:br/>
      </w:r>
      <w:r>
        <w:rPr>
          <w:rStyle w:val="VerbatimChar"/>
        </w:rPr>
        <w:t xml:space="preserve">    "major_amendment": true,</w:t>
      </w:r>
      <w:r>
        <w:br/>
      </w:r>
      <w:r>
        <w:rPr>
          <w:rStyle w:val="VerbatimChar"/>
        </w:rPr>
        <w:t xml:space="preserve">    "sources": ["Assemblée nat., PLF 2026[17]"]</w:t>
      </w:r>
      <w:r>
        <w:br/>
      </w:r>
      <w:r>
        <w:rPr>
          <w:rStyle w:val="VerbatimChar"/>
        </w:rPr>
        <w:t xml:space="preserve">  },</w:t>
      </w:r>
      <w:r>
        <w:br/>
      </w:r>
      <w:r>
        <w:rPr>
          <w:rStyle w:val="VerbatimChar"/>
        </w:rPr>
        <w:t xml:space="preserve">  {</w:t>
      </w:r>
      <w:r>
        <w:br/>
      </w:r>
      <w:r>
        <w:rPr>
          <w:rStyle w:val="VerbatimChar"/>
        </w:rPr>
        <w:t xml:space="preserve">    "id": "amend_limit_holding_tax_to_luxury",</w:t>
      </w:r>
      <w:r>
        <w:br/>
      </w:r>
      <w:r>
        <w:rPr>
          <w:rStyle w:val="VerbatimChar"/>
        </w:rPr>
        <w:t xml:space="preserve">    "family": "TAXES",</w:t>
      </w:r>
      <w:r>
        <w:br/>
      </w:r>
      <w:r>
        <w:rPr>
          <w:rStyle w:val="VerbatimChar"/>
        </w:rPr>
        <w:t xml:space="preserve">    "label": "Limitation de la taxe sur les holdings patrimoniales aux biens somptuaires",</w:t>
      </w:r>
      <w:r>
        <w:br/>
      </w:r>
      <w:r>
        <w:rPr>
          <w:rStyle w:val="VerbatimChar"/>
        </w:rPr>
        <w:t xml:space="preserve">    "description": "Restreindre l’assiette de la nouvelle taxe sur les holdings patrimoniales (sociétés non opérationnelles détenant du patrimoine) aux seuls actifs « somptuaires » (de luxe), excluant ainsi les autres biens de cette taxation[18].",</w:t>
      </w:r>
      <w:r>
        <w:br/>
      </w:r>
      <w:r>
        <w:rPr>
          <w:rStyle w:val="VerbatimChar"/>
        </w:rPr>
        <w:t xml:space="preserve">    "major_amendment": true,</w:t>
      </w:r>
      <w:r>
        <w:br/>
      </w:r>
      <w:r>
        <w:rPr>
          <w:rStyle w:val="VerbatimChar"/>
        </w:rPr>
        <w:t xml:space="preserve">    "sources": ["Assemblée nat., PLF 2026[18]"]</w:t>
      </w:r>
      <w:r>
        <w:br/>
      </w:r>
      <w:r>
        <w:rPr>
          <w:rStyle w:val="VerbatimChar"/>
        </w:rPr>
        <w:t xml:space="preserve">  },</w:t>
      </w:r>
      <w:r>
        <w:br/>
      </w:r>
      <w:r>
        <w:rPr>
          <w:rStyle w:val="VerbatimChar"/>
        </w:rPr>
        <w:t xml:space="preserve">  {</w:t>
      </w:r>
      <w:r>
        <w:br/>
      </w:r>
      <w:r>
        <w:rPr>
          <w:rStyle w:val="VerbatimChar"/>
        </w:rPr>
        <w:t xml:space="preserve">    "id": "amend_raise_big_corp_profit_contrib",</w:t>
      </w:r>
      <w:r>
        <w:br/>
      </w:r>
      <w:r>
        <w:rPr>
          <w:rStyle w:val="VerbatimChar"/>
        </w:rPr>
        <w:t xml:space="preserve">    "family": "TAXES",</w:t>
      </w:r>
      <w:r>
        <w:br/>
      </w:r>
      <w:r>
        <w:rPr>
          <w:rStyle w:val="VerbatimChar"/>
        </w:rPr>
        <w:t xml:space="preserve">    "label": "Hausse de la contribution exceptionnelle sur les bénéfices des grandes entreprises",</w:t>
      </w:r>
      <w:r>
        <w:br/>
      </w:r>
      <w:r>
        <w:rPr>
          <w:rStyle w:val="VerbatimChar"/>
        </w:rPr>
        <w:t xml:space="preserve">    "description": "Augmenter le taux et/ou la durée de la contribution exceptionnelle appliquée aux bénéfices des grandes entreprises, afin de solliciter davantage les grands groupes qui ont réalisé des profits importants[19].",</w:t>
      </w:r>
      <w:r>
        <w:br/>
      </w:r>
      <w:r>
        <w:rPr>
          <w:rStyle w:val="VerbatimChar"/>
        </w:rPr>
        <w:t xml:space="preserve">    "major_amendment": true,</w:t>
      </w:r>
      <w:r>
        <w:br/>
      </w:r>
      <w:r>
        <w:rPr>
          <w:rStyle w:val="VerbatimChar"/>
        </w:rPr>
        <w:t xml:space="preserve">    "sources": ["Assemblée nat., PLF 2026[19]"]</w:t>
      </w:r>
      <w:r>
        <w:br/>
      </w:r>
      <w:r>
        <w:rPr>
          <w:rStyle w:val="VerbatimChar"/>
        </w:rPr>
        <w:t xml:space="preserve">  },</w:t>
      </w:r>
      <w:r>
        <w:br/>
      </w:r>
      <w:r>
        <w:rPr>
          <w:rStyle w:val="VerbatimChar"/>
        </w:rPr>
        <w:t xml:space="preserve">  {</w:t>
      </w:r>
      <w:r>
        <w:br/>
      </w:r>
      <w:r>
        <w:rPr>
          <w:rStyle w:val="VerbatimChar"/>
        </w:rPr>
        <w:t xml:space="preserve">    "id": "amend_universal_tax_multinationals",</w:t>
      </w:r>
      <w:r>
        <w:br/>
      </w:r>
      <w:r>
        <w:rPr>
          <w:rStyle w:val="VerbatimChar"/>
        </w:rPr>
        <w:t xml:space="preserve">    "family": "TAXES",</w:t>
      </w:r>
      <w:r>
        <w:br/>
      </w:r>
      <w:r>
        <w:rPr>
          <w:rStyle w:val="VerbatimChar"/>
        </w:rPr>
        <w:t xml:space="preserve">    "label": "Instauration d’un impôt universel sur les multinationales",</w:t>
      </w:r>
      <w:r>
        <w:br/>
      </w:r>
      <w:r>
        <w:rPr>
          <w:rStyle w:val="VerbatimChar"/>
        </w:rPr>
        <w:t xml:space="preserve">    "description": "Mettre en place un mécanisme d’imposition universelle visant les multinationales, pour s’assurer qu’elles contribuent fiscalement en France sur leurs bénéfices mondiaux (en complément du dispositif international d’impôt minimum)[20].",</w:t>
      </w:r>
      <w:r>
        <w:br/>
      </w:r>
      <w:r>
        <w:rPr>
          <w:rStyle w:val="VerbatimChar"/>
        </w:rPr>
        <w:t xml:space="preserve">    "major_amendment": true,</w:t>
      </w:r>
      <w:r>
        <w:br/>
      </w:r>
      <w:r>
        <w:rPr>
          <w:rStyle w:val="VerbatimChar"/>
        </w:rPr>
        <w:t xml:space="preserve">    "sources": ["Assemblée nat., PLF 2026[20]"]</w:t>
      </w:r>
      <w:r>
        <w:br/>
      </w:r>
      <w:r>
        <w:rPr>
          <w:rStyle w:val="VerbatimChar"/>
        </w:rPr>
        <w:t xml:space="preserve">  },</w:t>
      </w:r>
      <w:r>
        <w:br/>
      </w:r>
      <w:r>
        <w:rPr>
          <w:rStyle w:val="VerbatimChar"/>
        </w:rPr>
        <w:t xml:space="preserve">  {</w:t>
      </w:r>
      <w:r>
        <w:br/>
      </w:r>
      <w:r>
        <w:rPr>
          <w:rStyle w:val="VerbatimChar"/>
        </w:rPr>
        <w:t xml:space="preserve">    "id": "amend_double_gafam_tax",</w:t>
      </w:r>
      <w:r>
        <w:br/>
      </w:r>
      <w:r>
        <w:rPr>
          <w:rStyle w:val="VerbatimChar"/>
        </w:rPr>
        <w:t xml:space="preserve">    "family": "TAXES",</w:t>
      </w:r>
      <w:r>
        <w:br/>
      </w:r>
      <w:r>
        <w:rPr>
          <w:rStyle w:val="VerbatimChar"/>
        </w:rPr>
        <w:t xml:space="preserve">    "label": "Doublement de la taxe GAFAM (de 3 % à 6 %)",</w:t>
      </w:r>
      <w:r>
        <w:br/>
      </w:r>
      <w:r>
        <w:rPr>
          <w:rStyle w:val="VerbatimChar"/>
        </w:rPr>
        <w:t xml:space="preserve">    "description": "Porter de 3 % à 6 % le taux de la taxe sur les services numériques (dite « taxe GAFAM ») afin de doubler les recettes provenant des grandes entreprises du numérique opérant en France[21].",</w:t>
      </w:r>
      <w:r>
        <w:br/>
      </w:r>
      <w:r>
        <w:rPr>
          <w:rStyle w:val="VerbatimChar"/>
        </w:rPr>
        <w:t xml:space="preserve">    "major_amendment": true,</w:t>
      </w:r>
      <w:r>
        <w:br/>
      </w:r>
      <w:r>
        <w:rPr>
          <w:rStyle w:val="VerbatimChar"/>
        </w:rPr>
        <w:t xml:space="preserve">    "sources": ["Assemblée nat., PLF 2026[21]"]</w:t>
      </w:r>
      <w:r>
        <w:br/>
      </w:r>
      <w:r>
        <w:rPr>
          <w:rStyle w:val="VerbatimChar"/>
        </w:rPr>
        <w:t xml:space="preserve">  },</w:t>
      </w:r>
      <w:r>
        <w:br/>
      </w:r>
      <w:r>
        <w:rPr>
          <w:rStyle w:val="VerbatimChar"/>
        </w:rPr>
        <w:t xml:space="preserve">  {</w:t>
      </w:r>
      <w:r>
        <w:br/>
      </w:r>
      <w:r>
        <w:rPr>
          <w:rStyle w:val="VerbatimChar"/>
        </w:rPr>
        <w:t xml:space="preserve">    "id": "amend_lower_global_min_tax_threshold",</w:t>
      </w:r>
      <w:r>
        <w:br/>
      </w:r>
      <w:r>
        <w:rPr>
          <w:rStyle w:val="VerbatimChar"/>
        </w:rPr>
        <w:t xml:space="preserve">    "family": "TAXES",</w:t>
      </w:r>
      <w:r>
        <w:br/>
      </w:r>
      <w:r>
        <w:rPr>
          <w:rStyle w:val="VerbatimChar"/>
        </w:rPr>
        <w:t xml:space="preserve">    "label": "Abaissement du seuil d’application du taux d’IS minimum mondial à 500 M€ de CA",</w:t>
      </w:r>
      <w:r>
        <w:br/>
      </w:r>
      <w:r>
        <w:rPr>
          <w:rStyle w:val="VerbatimChar"/>
        </w:rPr>
        <w:t xml:space="preserve">    "description": "Abaisser de 750 millions à 500 millions d’euros de chiffre d’affaires le seuil à partir duquel s’applique le taux minimum mondial de 15 % sur les bénéfices, élargissant ainsi le champ des entreprises concernées par ce taux plancher[22].",</w:t>
      </w:r>
      <w:r>
        <w:br/>
      </w:r>
      <w:r>
        <w:rPr>
          <w:rStyle w:val="VerbatimChar"/>
        </w:rPr>
        <w:t xml:space="preserve">    "major_amendment": true,</w:t>
      </w:r>
      <w:r>
        <w:br/>
      </w:r>
      <w:r>
        <w:rPr>
          <w:rStyle w:val="VerbatimChar"/>
        </w:rPr>
        <w:t xml:space="preserve">    "sources": ["Assemblée nat., PLF 2026[23]"]</w:t>
      </w:r>
      <w:r>
        <w:br/>
      </w:r>
      <w:r>
        <w:rPr>
          <w:rStyle w:val="VerbatimChar"/>
        </w:rPr>
        <w:t xml:space="preserve">  },</w:t>
      </w:r>
      <w:r>
        <w:br/>
      </w:r>
      <w:r>
        <w:rPr>
          <w:rStyle w:val="VerbatimChar"/>
        </w:rPr>
        <w:t xml:space="preserve">  {</w:t>
      </w:r>
      <w:r>
        <w:br/>
      </w:r>
      <w:r>
        <w:rPr>
          <w:rStyle w:val="VerbatimChar"/>
        </w:rPr>
        <w:t xml:space="preserve">    "id": "amend_raise_buyback_tax",</w:t>
      </w:r>
      <w:r>
        <w:br/>
      </w:r>
      <w:r>
        <w:rPr>
          <w:rStyle w:val="VerbatimChar"/>
        </w:rPr>
        <w:t xml:space="preserve">    "family": "TAXES",</w:t>
      </w:r>
      <w:r>
        <w:br/>
      </w:r>
      <w:r>
        <w:rPr>
          <w:rStyle w:val="VerbatimChar"/>
        </w:rPr>
        <w:t xml:space="preserve">    "label": "Rehaussement de la taxe sur les rachats d’actions de 8 % à 33 %",</w:t>
      </w:r>
      <w:r>
        <w:br/>
      </w:r>
      <w:r>
        <w:rPr>
          <w:rStyle w:val="VerbatimChar"/>
        </w:rPr>
        <w:t xml:space="preserve">    "description": "Augmenter drastiquement le taux de la taxe sur les rachats d’actions (ou « buybacks ») des entreprises, en le faisant passer de 8 % à 33 %, afin de décourager ces pratiques et de générer des recettes fiscales supplémentaires[24].",</w:t>
      </w:r>
      <w:r>
        <w:br/>
      </w:r>
      <w:r>
        <w:rPr>
          <w:rStyle w:val="VerbatimChar"/>
        </w:rPr>
        <w:t xml:space="preserve">    "major_amendment": true,</w:t>
      </w:r>
      <w:r>
        <w:br/>
      </w:r>
      <w:r>
        <w:rPr>
          <w:rStyle w:val="VerbatimChar"/>
        </w:rPr>
        <w:t xml:space="preserve">    "sources": ["Assemblée nat., PLF 2026[24]"]</w:t>
      </w:r>
      <w:r>
        <w:br/>
      </w:r>
      <w:r>
        <w:rPr>
          <w:rStyle w:val="VerbatimChar"/>
        </w:rPr>
        <w:t xml:space="preserve">  },</w:t>
      </w:r>
      <w:r>
        <w:br/>
      </w:r>
      <w:r>
        <w:rPr>
          <w:rStyle w:val="VerbatimChar"/>
        </w:rPr>
        <w:t xml:space="preserve">  {</w:t>
      </w:r>
      <w:r>
        <w:br/>
      </w:r>
      <w:r>
        <w:rPr>
          <w:rStyle w:val="VerbatimChar"/>
        </w:rPr>
        <w:t xml:space="preserve">    "id": "amend_windfall_dividend_tax",</w:t>
      </w:r>
      <w:r>
        <w:br/>
      </w:r>
      <w:r>
        <w:rPr>
          <w:rStyle w:val="VerbatimChar"/>
        </w:rPr>
        <w:t xml:space="preserve">    "family": "TAXES",</w:t>
      </w:r>
      <w:r>
        <w:br/>
      </w:r>
      <w:r>
        <w:rPr>
          <w:rStyle w:val="VerbatimChar"/>
        </w:rPr>
        <w:t xml:space="preserve">    "label": "Contribution sur les dividendes exceptionnels des grandes entreprises (20 % à 33 %)",</w:t>
      </w:r>
      <w:r>
        <w:br/>
      </w:r>
      <w:r>
        <w:rPr>
          <w:rStyle w:val="VerbatimChar"/>
        </w:rPr>
        <w:t xml:space="preserve">    "description": "Instituer une contribution fiscale spécifique sur les dividendes exceptionnels versés par les grandes entreprises, à un taux situé entre 20 % et 33 %, pour faire contribuer les « super-dividendes » au budget public[25].",</w:t>
      </w:r>
      <w:r>
        <w:br/>
      </w:r>
      <w:r>
        <w:rPr>
          <w:rStyle w:val="VerbatimChar"/>
        </w:rPr>
        <w:t xml:space="preserve">    "major_amendment": true,</w:t>
      </w:r>
      <w:r>
        <w:br/>
      </w:r>
      <w:r>
        <w:rPr>
          <w:rStyle w:val="VerbatimChar"/>
        </w:rPr>
        <w:t xml:space="preserve">    "sources": ["Assemblée nat., PLF 2026[25]"]</w:t>
      </w:r>
      <w:r>
        <w:br/>
      </w:r>
      <w:r>
        <w:rPr>
          <w:rStyle w:val="VerbatimChar"/>
        </w:rPr>
        <w:t xml:space="preserve">  },</w:t>
      </w:r>
      <w:r>
        <w:br/>
      </w:r>
      <w:r>
        <w:rPr>
          <w:rStyle w:val="VerbatimChar"/>
        </w:rPr>
        <w:t xml:space="preserve">  {</w:t>
      </w:r>
      <w:r>
        <w:br/>
      </w:r>
      <w:r>
        <w:rPr>
          <w:rStyle w:val="VerbatimChar"/>
        </w:rPr>
        <w:t xml:space="preserve">    "id": "amend_clawback_cir_relocation",</w:t>
      </w:r>
      <w:r>
        <w:br/>
      </w:r>
      <w:r>
        <w:rPr>
          <w:rStyle w:val="VerbatimChar"/>
        </w:rPr>
        <w:t xml:space="preserve">    "family": "TAXES",</w:t>
      </w:r>
      <w:r>
        <w:br/>
      </w:r>
      <w:r>
        <w:rPr>
          <w:rStyle w:val="VerbatimChar"/>
        </w:rPr>
        <w:t xml:space="preserve">    "label": "Remboursement du CIR en cas de délocalisation sous 3 ans",</w:t>
      </w:r>
      <w:r>
        <w:br/>
      </w:r>
      <w:r>
        <w:rPr>
          <w:rStyle w:val="VerbatimChar"/>
        </w:rPr>
        <w:t xml:space="preserve">    "description": "Exiger qu’une entreprise qui a bénéficié du Crédit d’impôt recherche (CIR) rembourse les trois dernières années de crédit perçues si elle délocalise ses activités de R&amp;D hors de France, afin de décourager les délocalisations après usage du CIR[26].",</w:t>
      </w:r>
      <w:r>
        <w:br/>
      </w:r>
      <w:r>
        <w:rPr>
          <w:rStyle w:val="VerbatimChar"/>
        </w:rPr>
        <w:t xml:space="preserve">    "major_amendment": true,</w:t>
      </w:r>
      <w:r>
        <w:br/>
      </w:r>
      <w:r>
        <w:rPr>
          <w:rStyle w:val="VerbatimChar"/>
        </w:rPr>
        <w:t xml:space="preserve">    "sources": ["Assemblée nat., PLF 2026[26]"]</w:t>
      </w:r>
      <w:r>
        <w:br/>
      </w:r>
      <w:r>
        <w:rPr>
          <w:rStyle w:val="VerbatimChar"/>
        </w:rPr>
        <w:t xml:space="preserve">  },</w:t>
      </w:r>
      <w:r>
        <w:br/>
      </w:r>
      <w:r>
        <w:rPr>
          <w:rStyle w:val="VerbatimChar"/>
        </w:rPr>
        <w:t xml:space="preserve">  {</w:t>
      </w:r>
      <w:r>
        <w:br/>
      </w:r>
      <w:r>
        <w:rPr>
          <w:rStyle w:val="VerbatimChar"/>
        </w:rPr>
        <w:t xml:space="preserve">    "id": "amend_sme_cit_threshold_100k",</w:t>
      </w:r>
      <w:r>
        <w:br/>
      </w:r>
      <w:r>
        <w:rPr>
          <w:rStyle w:val="VerbatimChar"/>
        </w:rPr>
        <w:t xml:space="preserve">    "family": "TAXES",</w:t>
      </w:r>
      <w:r>
        <w:br/>
      </w:r>
      <w:r>
        <w:rPr>
          <w:rStyle w:val="VerbatimChar"/>
        </w:rPr>
        <w:t xml:space="preserve">    "label": "Relèvement du seuil d’accès au taux réduit d’IS (15 %) de 42 500 à 100 000 €",</w:t>
      </w:r>
      <w:r>
        <w:br/>
      </w:r>
      <w:r>
        <w:rPr>
          <w:rStyle w:val="VerbatimChar"/>
        </w:rPr>
        <w:t xml:space="preserve">    "description": "Augmenter le plafond de bénéfice taxable au taux réduit de 15 % d’impôt sur les sociétés pour les PME, en le faisant passer de 42 500 € à 100 000 € de profit, afin d’élargir le nombre de petites entreprises bénéficiant du taux d’IS réduit[27].",</w:t>
      </w:r>
      <w:r>
        <w:br/>
      </w:r>
      <w:r>
        <w:rPr>
          <w:rStyle w:val="VerbatimChar"/>
        </w:rPr>
        <w:t xml:space="preserve">    "major_amendment": true,</w:t>
      </w:r>
      <w:r>
        <w:br/>
      </w:r>
      <w:r>
        <w:rPr>
          <w:rStyle w:val="VerbatimChar"/>
        </w:rPr>
        <w:t xml:space="preserve">    "sources": ["Assemblée nat., PLF 2026[27]"]</w:t>
      </w:r>
      <w:r>
        <w:br/>
      </w:r>
      <w:r>
        <w:rPr>
          <w:rStyle w:val="VerbatimChar"/>
        </w:rPr>
        <w:t xml:space="preserve">  },</w:t>
      </w:r>
      <w:r>
        <w:br/>
      </w:r>
      <w:r>
        <w:rPr>
          <w:rStyle w:val="VerbatimChar"/>
        </w:rPr>
        <w:t xml:space="preserve">  {</w:t>
      </w:r>
      <w:r>
        <w:br/>
      </w:r>
      <w:r>
        <w:rPr>
          <w:rStyle w:val="VerbatimChar"/>
        </w:rPr>
        <w:t xml:space="preserve">    "id": "amend_tighten_pacte_dutreil",</w:t>
      </w:r>
      <w:r>
        <w:br/>
      </w:r>
      <w:r>
        <w:rPr>
          <w:rStyle w:val="VerbatimChar"/>
        </w:rPr>
        <w:t xml:space="preserve">    "family": "TAXES",</w:t>
      </w:r>
      <w:r>
        <w:br/>
      </w:r>
      <w:r>
        <w:rPr>
          <w:rStyle w:val="VerbatimChar"/>
        </w:rPr>
        <w:t xml:space="preserve">    "label": "Recentrage du pacte Dutreil (biens professionnels uniquement, durée 6 ans)",</w:t>
      </w:r>
      <w:r>
        <w:br/>
      </w:r>
      <w:r>
        <w:rPr>
          <w:rStyle w:val="VerbatimChar"/>
        </w:rPr>
        <w:t xml:space="preserve">    "description": "Restreindre le dispositif d’exonération partielle des droits de succession/donation « pacte Dutreil » aux seuls biens professionnels (entreprises effectivement actives), et allonger la durée d’engagement de conservation des titres de 4 à 6 ans[28].",</w:t>
      </w:r>
      <w:r>
        <w:br/>
      </w:r>
      <w:r>
        <w:rPr>
          <w:rStyle w:val="VerbatimChar"/>
        </w:rPr>
        <w:t xml:space="preserve">    "major_amendment": true,</w:t>
      </w:r>
      <w:r>
        <w:br/>
      </w:r>
      <w:r>
        <w:rPr>
          <w:rStyle w:val="VerbatimChar"/>
        </w:rPr>
        <w:t xml:space="preserve">    "sources": ["Assemblée nat., PLF 2026[28]"]</w:t>
      </w:r>
      <w:r>
        <w:br/>
      </w:r>
      <w:r>
        <w:rPr>
          <w:rStyle w:val="VerbatimChar"/>
        </w:rPr>
        <w:t xml:space="preserve">  },</w:t>
      </w:r>
      <w:r>
        <w:br/>
      </w:r>
      <w:r>
        <w:rPr>
          <w:rStyle w:val="VerbatimChar"/>
        </w:rPr>
        <w:t xml:space="preserve">  {</w:t>
      </w:r>
      <w:r>
        <w:br/>
      </w:r>
      <w:r>
        <w:rPr>
          <w:rStyle w:val="VerbatimChar"/>
        </w:rPr>
        <w:t xml:space="preserve">    "id": "amend_ondam_3pct_increase",</w:t>
      </w:r>
      <w:r>
        <w:br/>
      </w:r>
      <w:r>
        <w:rPr>
          <w:rStyle w:val="VerbatimChar"/>
        </w:rPr>
        <w:t xml:space="preserve">    "family": "SOCIAL_SECURITY",</w:t>
      </w:r>
      <w:r>
        <w:br/>
      </w:r>
      <w:r>
        <w:rPr>
          <w:rStyle w:val="VerbatimChar"/>
        </w:rPr>
        <w:t xml:space="preserve">    "label": "Hausse de l’Ondam 2026 portée à +3 % au lieu de +1,6 %",</w:t>
      </w:r>
      <w:r>
        <w:br/>
      </w:r>
      <w:r>
        <w:rPr>
          <w:rStyle w:val="VerbatimChar"/>
        </w:rPr>
        <w:t xml:space="preserve">    "description": "Augmenter l’objectif national de dépenses d’assurance maladie (Ondam) pour 2026 à +3 % (au lieu de +1,6 % initialement prévu), ce qui relève le plafond de dépenses de santé à env. 273,9 Md€[1].",</w:t>
      </w:r>
      <w:r>
        <w:br/>
      </w:r>
      <w:r>
        <w:rPr>
          <w:rStyle w:val="VerbatimChar"/>
        </w:rPr>
        <w:t xml:space="preserve">    "major_amendment": true,</w:t>
      </w:r>
      <w:r>
        <w:br/>
      </w:r>
      <w:r>
        <w:rPr>
          <w:rStyle w:val="VerbatimChar"/>
        </w:rPr>
        <w:t xml:space="preserve">    "sources": ["PLFSS 2026 adopté[1]"]</w:t>
      </w:r>
      <w:r>
        <w:br/>
      </w:r>
      <w:r>
        <w:rPr>
          <w:rStyle w:val="VerbatimChar"/>
        </w:rPr>
        <w:t xml:space="preserve">  },</w:t>
      </w:r>
      <w:r>
        <w:br/>
      </w:r>
      <w:r>
        <w:rPr>
          <w:rStyle w:val="VerbatimChar"/>
        </w:rPr>
        <w:t xml:space="preserve">  {</w:t>
      </w:r>
      <w:r>
        <w:br/>
      </w:r>
      <w:r>
        <w:rPr>
          <w:rStyle w:val="VerbatimChar"/>
        </w:rPr>
        <w:t xml:space="preserve">    "id": "amend_suspend_retirement_reform",</w:t>
      </w:r>
      <w:r>
        <w:br/>
      </w:r>
      <w:r>
        <w:rPr>
          <w:rStyle w:val="VerbatimChar"/>
        </w:rPr>
        <w:t xml:space="preserve">    "family": "SOCIAL_SECURITY",</w:t>
      </w:r>
      <w:r>
        <w:br/>
      </w:r>
      <w:r>
        <w:rPr>
          <w:rStyle w:val="VerbatimChar"/>
        </w:rPr>
        <w:t xml:space="preserve">    "label": "Suspension de la réforme des retraites (report âge 64 ans suspendu)",</w:t>
      </w:r>
      <w:r>
        <w:br/>
      </w:r>
      <w:r>
        <w:rPr>
          <w:rStyle w:val="VerbatimChar"/>
        </w:rPr>
        <w:t xml:space="preserve">    "description": "Suspendre jusqu’en janvier 2028 la poursuite de la réforme des retraites de 2023 : le relèvement progressif de l’âge légal (vers 64 ans) et de la durée de cotisation sont mis en pause. Par exemple, la génération 1964 ne verra pas son âge légal passer à 64 ans mais pourra partir à 62 ans et 9 mois[29].",</w:t>
      </w:r>
      <w:r>
        <w:br/>
      </w:r>
      <w:r>
        <w:rPr>
          <w:rStyle w:val="VerbatimChar"/>
        </w:rPr>
        <w:t xml:space="preserve">    "major_amendment": true,</w:t>
      </w:r>
      <w:r>
        <w:br/>
      </w:r>
      <w:r>
        <w:rPr>
          <w:rStyle w:val="VerbatimChar"/>
        </w:rPr>
        <w:t xml:space="preserve">    "sources": ["PLFSS 2026 adopté[29]"]</w:t>
      </w:r>
      <w:r>
        <w:br/>
      </w:r>
      <w:r>
        <w:rPr>
          <w:rStyle w:val="VerbatimChar"/>
        </w:rPr>
        <w:t xml:space="preserve">  },</w:t>
      </w:r>
      <w:r>
        <w:br/>
      </w:r>
      <w:r>
        <w:rPr>
          <w:rStyle w:val="VerbatimChar"/>
        </w:rPr>
        <w:t xml:space="preserve">  {</w:t>
      </w:r>
      <w:r>
        <w:br/>
      </w:r>
      <w:r>
        <w:rPr>
          <w:rStyle w:val="VerbatimChar"/>
        </w:rPr>
        <w:t xml:space="preserve">    "id": "amend_new_birth_leave",</w:t>
      </w:r>
      <w:r>
        <w:br/>
      </w:r>
      <w:r>
        <w:rPr>
          <w:rStyle w:val="VerbatimChar"/>
        </w:rPr>
        <w:t xml:space="preserve">    "family": "SOCIAL_SECURITY",</w:t>
      </w:r>
      <w:r>
        <w:br/>
      </w:r>
      <w:r>
        <w:rPr>
          <w:rStyle w:val="VerbatimChar"/>
        </w:rPr>
        <w:t xml:space="preserve">    "label": "Création d’un congé de naissance supplémentaire (1 à 2 mois)",</w:t>
      </w:r>
      <w:r>
        <w:br/>
      </w:r>
      <w:r>
        <w:rPr>
          <w:rStyle w:val="VerbatimChar"/>
        </w:rPr>
        <w:t xml:space="preserve">    "description": "Instaurer un nouveau congé de naissance, s’ajoutant aux congés maternité et paternité existants, d’une durée au choix du salarié de un mois (à 70 % du salaire) ou deux mois (à 60 %). Ce congé pourra être pris en deux fois et vise à renforcer le soutien à la parentalité[30].",</w:t>
      </w:r>
      <w:r>
        <w:br/>
      </w:r>
      <w:r>
        <w:rPr>
          <w:rStyle w:val="VerbatimChar"/>
        </w:rPr>
        <w:t xml:space="preserve">    "major_amendment": true,</w:t>
      </w:r>
      <w:r>
        <w:br/>
      </w:r>
      <w:r>
        <w:rPr>
          <w:rStyle w:val="VerbatimChar"/>
        </w:rPr>
        <w:t xml:space="preserve">    "sources": ["PLFSS 2026 adopté[30]"]</w:t>
      </w:r>
      <w:r>
        <w:br/>
      </w:r>
      <w:r>
        <w:rPr>
          <w:rStyle w:val="VerbatimChar"/>
        </w:rPr>
        <w:t xml:space="preserve">  },</w:t>
      </w:r>
      <w:r>
        <w:br/>
      </w:r>
      <w:r>
        <w:rPr>
          <w:rStyle w:val="VerbatimChar"/>
        </w:rPr>
        <w:t xml:space="preserve">  {</w:t>
      </w:r>
      <w:r>
        <w:br/>
      </w:r>
      <w:r>
        <w:rPr>
          <w:rStyle w:val="VerbatimChar"/>
        </w:rPr>
        <w:t xml:space="preserve">    "id": "amend_limit_sick_leave_duration",</w:t>
      </w:r>
      <w:r>
        <w:br/>
      </w:r>
      <w:r>
        <w:rPr>
          <w:rStyle w:val="VerbatimChar"/>
        </w:rPr>
        <w:t xml:space="preserve">    "family": "SOCIAL_SECURITY",</w:t>
      </w:r>
      <w:r>
        <w:br/>
      </w:r>
      <w:r>
        <w:rPr>
          <w:rStyle w:val="VerbatimChar"/>
        </w:rPr>
        <w:t xml:space="preserve">    "label": "Limitation de la durée des arrêts de travail initiaux à 1 mois",</w:t>
      </w:r>
      <w:r>
        <w:br/>
      </w:r>
      <w:r>
        <w:rPr>
          <w:rStyle w:val="VerbatimChar"/>
        </w:rPr>
        <w:t xml:space="preserve">    "description": "Limiter la durée d’un arrêt de travail prescrit par un médecin à un maximum d’un mois pour la première prescription, et à deux mois pour chaque renouvellement. Objectif : éviter des arrêts initiaux excessivement longs et mieux encadrer les arrêts de longue durée[31].",</w:t>
      </w:r>
      <w:r>
        <w:br/>
      </w:r>
      <w:r>
        <w:rPr>
          <w:rStyle w:val="VerbatimChar"/>
        </w:rPr>
        <w:t xml:space="preserve">    "major_amendment": true,</w:t>
      </w:r>
      <w:r>
        <w:br/>
      </w:r>
      <w:r>
        <w:rPr>
          <w:rStyle w:val="VerbatimChar"/>
        </w:rPr>
        <w:t xml:space="preserve">    "sources": ["PLFSS 2026, art.81[31]"]</w:t>
      </w:r>
      <w:r>
        <w:br/>
      </w:r>
      <w:r>
        <w:rPr>
          <w:rStyle w:val="VerbatimChar"/>
        </w:rPr>
        <w:t xml:space="preserve">  },</w:t>
      </w:r>
      <w:r>
        <w:br/>
      </w:r>
      <w:r>
        <w:rPr>
          <w:rStyle w:val="VerbatimChar"/>
        </w:rPr>
        <w:t xml:space="preserve">  {</w:t>
      </w:r>
      <w:r>
        <w:br/>
      </w:r>
      <w:r>
        <w:rPr>
          <w:rStyle w:val="VerbatimChar"/>
        </w:rPr>
        <w:t xml:space="preserve">    "id": "amend_no_benefit_index_freeze",</w:t>
      </w:r>
      <w:r>
        <w:br/>
      </w:r>
      <w:r>
        <w:rPr>
          <w:rStyle w:val="VerbatimChar"/>
        </w:rPr>
        <w:t xml:space="preserve">    "family": "SOCIAL_SECURITY",</w:t>
      </w:r>
      <w:r>
        <w:br/>
      </w:r>
      <w:r>
        <w:rPr>
          <w:rStyle w:val="VerbatimChar"/>
        </w:rPr>
        <w:t xml:space="preserve">    "label": "Annulation du gel 2024-2025 des pensions et minima sociaux",</w:t>
      </w:r>
      <w:r>
        <w:br/>
      </w:r>
      <w:r>
        <w:rPr>
          <w:rStyle w:val="VerbatimChar"/>
        </w:rPr>
        <w:t xml:space="preserve">    "description": "Supprimer l’article prévoyant une « année blanche » sans revalorisation des pensions de retraite et prestations sociales en avril 2026. Les retraites et minima sociaux seront finalement indexés sur l’inflation comme d’habitude, évitant ~3 Mds€ d’économies initialement envisagées[2].",</w:t>
      </w:r>
      <w:r>
        <w:br/>
      </w:r>
      <w:r>
        <w:rPr>
          <w:rStyle w:val="VerbatimChar"/>
        </w:rPr>
        <w:t xml:space="preserve">    "major_amendment": true,</w:t>
      </w:r>
      <w:r>
        <w:br/>
      </w:r>
      <w:r>
        <w:rPr>
          <w:rStyle w:val="VerbatimChar"/>
        </w:rPr>
        <w:t xml:space="preserve">    "sources": ["PLFSS 2026, AN[2]"]</w:t>
      </w:r>
      <w:r>
        <w:br/>
      </w:r>
      <w:r>
        <w:rPr>
          <w:rStyle w:val="VerbatimChar"/>
        </w:rPr>
        <w:t xml:space="preserve">  },</w:t>
      </w:r>
      <w:r>
        <w:br/>
      </w:r>
      <w:r>
        <w:rPr>
          <w:rStyle w:val="VerbatimChar"/>
        </w:rPr>
        <w:t xml:space="preserve">  {</w:t>
      </w:r>
      <w:r>
        <w:br/>
      </w:r>
      <w:r>
        <w:rPr>
          <w:rStyle w:val="VerbatimChar"/>
        </w:rPr>
        <w:t xml:space="preserve">    "id": "amend_no_new_apprentice_contrib",</w:t>
      </w:r>
      <w:r>
        <w:br/>
      </w:r>
      <w:r>
        <w:rPr>
          <w:rStyle w:val="VerbatimChar"/>
        </w:rPr>
        <w:t xml:space="preserve">    "family": "SOCIAL_SECURITY",</w:t>
      </w:r>
      <w:r>
        <w:br/>
      </w:r>
      <w:r>
        <w:rPr>
          <w:rStyle w:val="VerbatimChar"/>
        </w:rPr>
        <w:t xml:space="preserve">    "label": "Abandon de la fin d’exonération de cotisations pour les apprentis",</w:t>
      </w:r>
      <w:r>
        <w:br/>
      </w:r>
      <w:r>
        <w:rPr>
          <w:rStyle w:val="VerbatimChar"/>
        </w:rPr>
        <w:t xml:space="preserve">    "description": "Annuler la mesure envisagée de suppression de l’exonération de cotisations sociales pour les nouveaux contrats d’apprentissage. Autrement dit, les employeurs d’apprentis continueront à bénéficier de l’allègement actuel, aucune cotisation nouvelle ne sera créée[2].",</w:t>
      </w:r>
      <w:r>
        <w:br/>
      </w:r>
      <w:r>
        <w:rPr>
          <w:rStyle w:val="VerbatimChar"/>
        </w:rPr>
        <w:t xml:space="preserve">    "major_amendment": true,</w:t>
      </w:r>
      <w:r>
        <w:br/>
      </w:r>
      <w:r>
        <w:rPr>
          <w:rStyle w:val="VerbatimChar"/>
        </w:rPr>
        <w:t xml:space="preserve">    "sources": ["PLFSS 2026, AN[2]"]</w:t>
      </w:r>
      <w:r>
        <w:br/>
      </w:r>
      <w:r>
        <w:rPr>
          <w:rStyle w:val="VerbatimChar"/>
        </w:rPr>
        <w:t xml:space="preserve">  },</w:t>
      </w:r>
      <w:r>
        <w:br/>
      </w:r>
      <w:r>
        <w:rPr>
          <w:rStyle w:val="VerbatimChar"/>
        </w:rPr>
        <w:t xml:space="preserve">  {</w:t>
      </w:r>
      <w:r>
        <w:br/>
      </w:r>
      <w:r>
        <w:rPr>
          <w:rStyle w:val="VerbatimChar"/>
        </w:rPr>
        <w:t xml:space="preserve">    "id": "amend_no_meal_voucher_tax",</w:t>
      </w:r>
      <w:r>
        <w:br/>
      </w:r>
      <w:r>
        <w:rPr>
          <w:rStyle w:val="VerbatimChar"/>
        </w:rPr>
        <w:t xml:space="preserve">    "family": "SOCIAL_SECURITY",</w:t>
      </w:r>
      <w:r>
        <w:br/>
      </w:r>
      <w:r>
        <w:rPr>
          <w:rStyle w:val="VerbatimChar"/>
        </w:rPr>
        <w:t xml:space="preserve">    "label": "Abandon de la cotisation patronale sur les titres-restaurants",</w:t>
      </w:r>
      <w:r>
        <w:br/>
      </w:r>
      <w:r>
        <w:rPr>
          <w:rStyle w:val="VerbatimChar"/>
        </w:rPr>
        <w:t xml:space="preserve">    "description": "Retirer la disposition qui visait à instaurer une nouvelle cotisation patronale sur la part patronale des titres-restaurant. En conséquence, les entreprises ne seront pas soumises en 2026 à une charge supplémentaire sur les tickets-resto distribués à leurs salariés[2].",</w:t>
      </w:r>
      <w:r>
        <w:br/>
      </w:r>
      <w:r>
        <w:rPr>
          <w:rStyle w:val="VerbatimChar"/>
        </w:rPr>
        <w:t xml:space="preserve">    "major_amendment": true,</w:t>
      </w:r>
      <w:r>
        <w:br/>
      </w:r>
      <w:r>
        <w:rPr>
          <w:rStyle w:val="VerbatimChar"/>
        </w:rPr>
        <w:t xml:space="preserve">    "sources": ["PLFSS 2026, AN[2]"]</w:t>
      </w:r>
      <w:r>
        <w:br/>
      </w:r>
      <w:r>
        <w:rPr>
          <w:rStyle w:val="VerbatimChar"/>
        </w:rPr>
        <w:t xml:space="preserve">  },</w:t>
      </w:r>
      <w:r>
        <w:br/>
      </w:r>
      <w:r>
        <w:rPr>
          <w:rStyle w:val="VerbatimChar"/>
        </w:rPr>
        <w:t xml:space="preserve">  {</w:t>
      </w:r>
      <w:r>
        <w:br/>
      </w:r>
      <w:r>
        <w:rPr>
          <w:rStyle w:val="VerbatimChar"/>
        </w:rPr>
        <w:t xml:space="preserve">    "id": "amend_no_medical_copay_doubling",</w:t>
      </w:r>
      <w:r>
        <w:br/>
      </w:r>
      <w:r>
        <w:rPr>
          <w:rStyle w:val="VerbatimChar"/>
        </w:rPr>
        <w:t xml:space="preserve">    "family": "SOCIAL_SECURITY",</w:t>
      </w:r>
      <w:r>
        <w:br/>
      </w:r>
      <w:r>
        <w:rPr>
          <w:rStyle w:val="VerbatimChar"/>
        </w:rPr>
        <w:t xml:space="preserve">    "label": "Renonciation au doublement des franchises médicales par décret",</w:t>
      </w:r>
      <w:r>
        <w:br/>
      </w:r>
      <w:r>
        <w:rPr>
          <w:rStyle w:val="VerbatimChar"/>
        </w:rPr>
        <w:t xml:space="preserve">    "description": "Le gouvernement renonce à son projet d’augmenter par décret (sans vote) le montant des franchises médicales – ces participations forfaitaires laissées à charge des patients sur les boîtes de médicaments, actes médicaux, etc. Initialement, un doublement de ces franchises était envisagé[32].",</w:t>
      </w:r>
      <w:r>
        <w:br/>
      </w:r>
      <w:r>
        <w:rPr>
          <w:rStyle w:val="VerbatimChar"/>
        </w:rPr>
        <w:t xml:space="preserve">    "major_amendment": true,</w:t>
      </w:r>
      <w:r>
        <w:br/>
      </w:r>
      <w:r>
        <w:rPr>
          <w:rStyle w:val="VerbatimChar"/>
        </w:rPr>
        <w:t xml:space="preserve">    "sources": ["PLFSS 2026, débats[32]"]</w:t>
      </w:r>
      <w:r>
        <w:br/>
      </w:r>
      <w:r>
        <w:rPr>
          <w:rStyle w:val="VerbatimChar"/>
        </w:rPr>
        <w:t xml:space="preserve">  },</w:t>
      </w:r>
      <w:r>
        <w:br/>
      </w:r>
      <w:r>
        <w:rPr>
          <w:rStyle w:val="VerbatimChar"/>
        </w:rPr>
        <w:t xml:space="preserve">  {</w:t>
      </w:r>
      <w:r>
        <w:br/>
      </w:r>
      <w:r>
        <w:rPr>
          <w:rStyle w:val="VerbatimChar"/>
        </w:rPr>
        <w:t xml:space="preserve">    "id": "amend_raise_csg_on_capital",</w:t>
      </w:r>
      <w:r>
        <w:br/>
      </w:r>
      <w:r>
        <w:rPr>
          <w:rStyle w:val="VerbatimChar"/>
        </w:rPr>
        <w:t xml:space="preserve">    "family": "SOCIAL_SECURITY",</w:t>
      </w:r>
      <w:r>
        <w:br/>
      </w:r>
      <w:r>
        <w:rPr>
          <w:rStyle w:val="VerbatimChar"/>
        </w:rPr>
        <w:t xml:space="preserve">    "label": "Hausse de la fiscalité via CSG sur revenus du capital (+1,4 pt)",</w:t>
      </w:r>
      <w:r>
        <w:br/>
      </w:r>
      <w:r>
        <w:rPr>
          <w:rStyle w:val="VerbatimChar"/>
        </w:rPr>
        <w:t xml:space="preserve">    "description": "Augmenter de 1,4 point le taux de Contribution sociale généralisée (CSG) sur certains revenus du capital (dividendes, plus-values mobilières). La CSG passe ainsi d’environ 9,2 % à 10,6 % sur ces revenus pour les foyers aisés, ce qui devrait rapporter ~1,5 Md€ affecté à la branche autonomie[3].",</w:t>
      </w:r>
      <w:r>
        <w:br/>
      </w:r>
      <w:r>
        <w:rPr>
          <w:rStyle w:val="VerbatimChar"/>
        </w:rPr>
        <w:t xml:space="preserve">    "major_amendment": true,</w:t>
      </w:r>
      <w:r>
        <w:br/>
      </w:r>
      <w:r>
        <w:rPr>
          <w:rStyle w:val="VerbatimChar"/>
        </w:rPr>
        <w:t xml:space="preserve">    "sources": ["PLFSS 2026 adopté[3]"]</w:t>
      </w:r>
      <w:r>
        <w:br/>
      </w:r>
      <w:r>
        <w:rPr>
          <w:rStyle w:val="VerbatimChar"/>
        </w:rPr>
        <w:t xml:space="preserve">  },</w:t>
      </w:r>
      <w:r>
        <w:br/>
      </w:r>
      <w:r>
        <w:rPr>
          <w:rStyle w:val="VerbatimChar"/>
        </w:rPr>
        <w:t xml:space="preserve">  {</w:t>
      </w:r>
      <w:r>
        <w:br/>
      </w:r>
      <w:r>
        <w:rPr>
          <w:rStyle w:val="VerbatimChar"/>
        </w:rPr>
        <w:t xml:space="preserve">    "id": "amend_surtax_health_insurers",</w:t>
      </w:r>
      <w:r>
        <w:br/>
      </w:r>
      <w:r>
        <w:rPr>
          <w:rStyle w:val="VerbatimChar"/>
        </w:rPr>
        <w:t xml:space="preserve">    "family": "SOCIAL_SECURITY",</w:t>
      </w:r>
      <w:r>
        <w:br/>
      </w:r>
      <w:r>
        <w:rPr>
          <w:rStyle w:val="VerbatimChar"/>
        </w:rPr>
        <w:t xml:space="preserve">    "label": "Contribution exceptionnelle des mutuelles santé (1 Md€)",</w:t>
      </w:r>
      <w:r>
        <w:br/>
      </w:r>
      <w:r>
        <w:rPr>
          <w:rStyle w:val="VerbatimChar"/>
        </w:rPr>
        <w:t xml:space="preserve">    "description": "Instaurer une taxe exceptionnelle sur les organismes complémentaires santé (mutuelles et assureurs) d’environ 1 Md€ en 2026. Objectif affiché : compenser le coût des mesures et répondre aux hausses de tarifs jugées excessives des mutuelles, sans répercussion sur les assurés (plafond d’augmentation des cotisations en 2026)[4].",</w:t>
      </w:r>
      <w:r>
        <w:br/>
      </w:r>
      <w:r>
        <w:rPr>
          <w:rStyle w:val="VerbatimChar"/>
        </w:rPr>
        <w:t xml:space="preserve">    "major_amendment": true,</w:t>
      </w:r>
      <w:r>
        <w:br/>
      </w:r>
      <w:r>
        <w:rPr>
          <w:rStyle w:val="VerbatimChar"/>
        </w:rPr>
        <w:t xml:space="preserve">    "sources": ["PLFSS 2026 adopté[4]"]</w:t>
      </w:r>
      <w:r>
        <w:br/>
      </w:r>
      <w:r>
        <w:rPr>
          <w:rStyle w:val="VerbatimChar"/>
        </w:rPr>
        <w:t xml:space="preserve">  },</w:t>
      </w:r>
      <w:r>
        <w:br/>
      </w:r>
      <w:r>
        <w:rPr>
          <w:rStyle w:val="VerbatimChar"/>
        </w:rPr>
        <w:t xml:space="preserve">  {</w:t>
      </w:r>
      <w:r>
        <w:br/>
      </w:r>
      <w:r>
        <w:rPr>
          <w:rStyle w:val="VerbatimChar"/>
        </w:rPr>
        <w:t xml:space="preserve">    "id": "amend_extend_overtime_deduction",</w:t>
      </w:r>
      <w:r>
        <w:br/>
      </w:r>
      <w:r>
        <w:rPr>
          <w:rStyle w:val="VerbatimChar"/>
        </w:rPr>
        <w:t xml:space="preserve">    "family": "SOCIAL_SECURITY",</w:t>
      </w:r>
      <w:r>
        <w:br/>
      </w:r>
      <w:r>
        <w:rPr>
          <w:rStyle w:val="VerbatimChar"/>
        </w:rPr>
        <w:t xml:space="preserve">    "label": "Extension de la déduction de cotisations sur les heures sup’ aux &gt;250 salariés",</w:t>
      </w:r>
      <w:r>
        <w:br/>
      </w:r>
      <w:r>
        <w:rPr>
          <w:rStyle w:val="VerbatimChar"/>
        </w:rPr>
        <w:t xml:space="preserve">    "description": "Étendre aux entreprises de plus de 250 salariés la déduction forfaitaire de cotisations patronales aujourd’hui applicable aux heures supplémentaires dans les plus petites entreprises. Cette mesure, portée par des députés de l’opposition, vise à soutenir le pouvoir d’achat des salariés des grands groupes (coût &lt; 150 M€)[33].",</w:t>
      </w:r>
      <w:r>
        <w:br/>
      </w:r>
      <w:r>
        <w:rPr>
          <w:rStyle w:val="VerbatimChar"/>
        </w:rPr>
        <w:t xml:space="preserve">    "major_amendment": true,</w:t>
      </w:r>
      <w:r>
        <w:br/>
      </w:r>
      <w:r>
        <w:rPr>
          <w:rStyle w:val="VerbatimChar"/>
        </w:rPr>
        <w:t xml:space="preserve">    "sources": ["PLFSS 2026 amend. AN[33]"]</w:t>
      </w:r>
      <w:r>
        <w:br/>
      </w:r>
      <w:r>
        <w:rPr>
          <w:rStyle w:val="VerbatimChar"/>
        </w:rPr>
        <w:t xml:space="preserve">  },</w:t>
      </w:r>
      <w:r>
        <w:br/>
      </w:r>
      <w:r>
        <w:rPr>
          <w:rStyle w:val="VerbatimChar"/>
        </w:rPr>
        <w:t xml:space="preserve">  {</w:t>
      </w:r>
      <w:r>
        <w:br/>
      </w:r>
      <w:r>
        <w:rPr>
          <w:rStyle w:val="VerbatimChar"/>
        </w:rPr>
        <w:t xml:space="preserve">    "id": "amend_increase_severance_tax",</w:t>
      </w:r>
      <w:r>
        <w:br/>
      </w:r>
      <w:r>
        <w:rPr>
          <w:rStyle w:val="VerbatimChar"/>
        </w:rPr>
        <w:t xml:space="preserve">    "family": "SOCIAL_SECURITY",</w:t>
      </w:r>
      <w:r>
        <w:br/>
      </w:r>
      <w:r>
        <w:rPr>
          <w:rStyle w:val="VerbatimChar"/>
        </w:rPr>
        <w:t xml:space="preserve">    "label": "Augmentation du forfait social sur les indemnités de rupture (30% → 40%)",</w:t>
      </w:r>
      <w:r>
        <w:br/>
      </w:r>
      <w:r>
        <w:rPr>
          <w:rStyle w:val="VerbatimChar"/>
        </w:rPr>
        <w:t xml:space="preserve">    "description": "Rehausser de 30 % à 40 % le taux du forfait social (contribution patronale) appliqué aux indemnités de rupture conventionnelle et de mise à la retraite. Cette mesure accroît le coût des départs négociés pour l’employeur, générant des recettes supplémentaires pour la Sécurité sociale[34].",</w:t>
      </w:r>
      <w:r>
        <w:br/>
      </w:r>
      <w:r>
        <w:rPr>
          <w:rStyle w:val="VerbatimChar"/>
        </w:rPr>
        <w:t xml:space="preserve">    "major_amendment": true,</w:t>
      </w:r>
      <w:r>
        <w:br/>
      </w:r>
      <w:r>
        <w:rPr>
          <w:rStyle w:val="VerbatimChar"/>
        </w:rPr>
        <w:t xml:space="preserve">    "sources": ["PLFSS 2026 adopté[34]"]</w:t>
      </w:r>
      <w:r>
        <w:br/>
      </w:r>
      <w:r>
        <w:rPr>
          <w:rStyle w:val="VerbatimChar"/>
        </w:rPr>
        <w:t xml:space="preserve">  }</w:t>
      </w:r>
      <w:r>
        <w:br/>
      </w:r>
      <w:r>
        <w:rPr>
          <w:rStyle w:val="VerbatimChar"/>
        </w:rPr>
        <w:t xml:space="preserve">]</w:t>
      </w:r>
    </w:p>
    <w:p>
      <w:pPr>
        <w:pStyle w:val="FirstParagraph"/>
      </w:pPr>
      <w:r>
        <w:rPr>
          <w:b/>
          <w:bCs/>
        </w:rPr>
        <w:t xml:space="preserve">Sources &amp; Vérifications :</w:t>
      </w:r>
      <w:r>
        <w:t xml:space="preserve"> </w:t>
      </w:r>
      <w:r>
        <w:t xml:space="preserve">Chaque entrée comporte une référence aux sources officielles ou médiatiques confirmant la mesure. Par exemple,</w:t>
      </w:r>
      <w:r>
        <w:t xml:space="preserve"> </w:t>
      </w:r>
      <w:r>
        <w:rPr>
          <w:b/>
          <w:bCs/>
        </w:rPr>
        <w:t xml:space="preserve">Legifiscal</w:t>
      </w:r>
      <w:r>
        <w:t xml:space="preserve"> </w:t>
      </w:r>
      <w:r>
        <w:t xml:space="preserve">dresse un tableau des amendements fiscaux adoptés en première lecture du PLF 2026</w:t>
      </w:r>
      <w:hyperlink r:id="rId28">
        <w:r>
          <w:rPr>
            <w:rStyle w:val="Hyperlink"/>
          </w:rPr>
          <w:t xml:space="preserve">[35]</w:t>
        </w:r>
      </w:hyperlink>
      <w:hyperlink r:id="rId29">
        <w:r>
          <w:rPr>
            <w:rStyle w:val="Hyperlink"/>
          </w:rPr>
          <w:t xml:space="preserve">[18]</w:t>
        </w:r>
      </w:hyperlink>
      <w:r>
        <w:t xml:space="preserve">, tandis que</w:t>
      </w:r>
      <w:r>
        <w:t xml:space="preserve"> </w:t>
      </w:r>
      <w:r>
        <w:rPr>
          <w:b/>
          <w:bCs/>
        </w:rPr>
        <w:t xml:space="preserve">LCP</w:t>
      </w:r>
      <w:r>
        <w:t xml:space="preserve"> </w:t>
      </w:r>
      <w:r>
        <w:t xml:space="preserve">et</w:t>
      </w:r>
      <w:r>
        <w:t xml:space="preserve"> </w:t>
      </w:r>
      <w:r>
        <w:rPr>
          <w:b/>
          <w:bCs/>
        </w:rPr>
        <w:t xml:space="preserve">Vie-publique</w:t>
      </w:r>
      <w:r>
        <w:t xml:space="preserve"> </w:t>
      </w:r>
      <w:r>
        <w:t xml:space="preserve">récapitulent les dispositions phares du PLFSS 2026 adopté définitivement</w:t>
      </w:r>
      <w:hyperlink r:id="rId30">
        <w:r>
          <w:rPr>
            <w:rStyle w:val="Hyperlink"/>
          </w:rPr>
          <w:t xml:space="preserve">[36]</w:t>
        </w:r>
      </w:hyperlink>
      <w:hyperlink r:id="rId24">
        <w:r>
          <w:rPr>
            <w:rStyle w:val="Hyperlink"/>
          </w:rPr>
          <w:t xml:space="preserve">[4]</w:t>
        </w:r>
      </w:hyperlink>
      <w:r>
        <w:t xml:space="preserve">. Ces sources ont été croisées afin de</w:t>
      </w:r>
      <w:r>
        <w:t xml:space="preserve"> </w:t>
      </w:r>
      <w:r>
        <w:rPr>
          <w:b/>
          <w:bCs/>
        </w:rPr>
        <w:t xml:space="preserve">triple-vérifier</w:t>
      </w:r>
      <w:r>
        <w:t xml:space="preserve"> </w:t>
      </w:r>
      <w:r>
        <w:t xml:space="preserve">l’existence et la portée de chaque réforme listée. Le JSON ci-dessus peut être intégré au catalog des</w:t>
      </w:r>
      <w:r>
        <w:t xml:space="preserve"> </w:t>
      </w:r>
      <w:r>
        <w:rPr>
          <w:b/>
          <w:bCs/>
        </w:rPr>
        <w:t xml:space="preserve">policy levers</w:t>
      </w:r>
      <w:r>
        <w:t xml:space="preserve"> </w:t>
      </w:r>
      <w:r>
        <w:t xml:space="preserve">du Citizen Budget Lab, assurant que le joueur/la simulation pourra activer ou désactiver ces amendements réels aisément. Each object’s</w:t>
      </w:r>
      <w:r>
        <w:t xml:space="preserve"> </w:t>
      </w:r>
      <w:r>
        <w:rPr>
          <w:rStyle w:val="VerbatimChar"/>
        </w:rPr>
        <w:t xml:space="preserve">"major_amendment": true</w:t>
      </w:r>
      <w:r>
        <w:t xml:space="preserve"> </w:t>
      </w:r>
      <w:r>
        <w:t xml:space="preserve">flag highlights qu’il s’agit d’un élément central du débat parlementaire 2026.</w:t>
      </w:r>
    </w:p>
    <w:bookmarkEnd w:id="31"/>
    <w:bookmarkEnd w:id="32"/>
    <w:p>
      <w:r>
        <w:pict>
          <v:rect style="width:0;height:1.5pt" o:hralign="center" o:hrstd="t" o:hr="t"/>
        </w:pict>
      </w:r>
    </w:p>
    <w:bookmarkStart w:id="6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33">
        <w:r>
          <w:rPr>
            <w:rStyle w:val="Hyperlink"/>
          </w:rPr>
          <w:t xml:space="preserve">[29]</w:t>
        </w:r>
      </w:hyperlink>
      <w:r>
        <w:t xml:space="preserve"> </w:t>
      </w:r>
      <w:hyperlink r:id="rId34">
        <w:r>
          <w:rPr>
            <w:rStyle w:val="Hyperlink"/>
          </w:rPr>
          <w:t xml:space="preserve">[30]</w:t>
        </w:r>
      </w:hyperlink>
      <w:r>
        <w:t xml:space="preserve"> </w:t>
      </w:r>
      <w:hyperlink r:id="rId35">
        <w:r>
          <w:rPr>
            <w:rStyle w:val="Hyperlink"/>
          </w:rPr>
          <w:t xml:space="preserve">[31]</w:t>
        </w:r>
      </w:hyperlink>
      <w:r>
        <w:t xml:space="preserve"> </w:t>
      </w:r>
      <w:hyperlink r:id="rId36">
        <w:r>
          <w:rPr>
            <w:rStyle w:val="Hyperlink"/>
          </w:rPr>
          <w:t xml:space="preserve">[32]</w:t>
        </w:r>
      </w:hyperlink>
      <w:r>
        <w:t xml:space="preserve"> </w:t>
      </w:r>
      <w:hyperlink r:id="rId37">
        <w:r>
          <w:rPr>
            <w:rStyle w:val="Hyperlink"/>
          </w:rPr>
          <w:t xml:space="preserve">[33]</w:t>
        </w:r>
      </w:hyperlink>
      <w:r>
        <w:t xml:space="preserve"> </w:t>
      </w:r>
      <w:hyperlink r:id="rId30">
        <w:r>
          <w:rPr>
            <w:rStyle w:val="Hyperlink"/>
          </w:rPr>
          <w:t xml:space="preserve">[36]</w:t>
        </w:r>
      </w:hyperlink>
      <w:r>
        <w:t xml:space="preserve"> </w:t>
      </w:r>
      <w:r>
        <w:t xml:space="preserve">Les principales mesures du budget de la Sécu, définitivement adopté par l'Assemblée | LCP - Assemblée nationale</w:t>
      </w:r>
    </w:p>
    <w:p>
      <w:pPr>
        <w:pStyle w:val="BodyText"/>
      </w:pPr>
      <w:hyperlink r:id="rId38">
        <w:r>
          <w:rPr>
            <w:rStyle w:val="Hyperlink"/>
          </w:rPr>
          <w:t xml:space="preserve">https://lcp.fr/actualites/les-principales-mesures-du-budget-de-la-secu-definitivement-adopte-par-l-assemblee</w:t>
        </w:r>
      </w:hyperlink>
    </w:p>
    <w:p>
      <w:pPr>
        <w:pStyle w:val="BodyText"/>
      </w:pPr>
      <w:hyperlink r:id="rId25">
        <w:r>
          <w:rPr>
            <w:rStyle w:val="Hyperlink"/>
          </w:rPr>
          <w:t xml:space="preserve">[5]</w:t>
        </w:r>
      </w:hyperlink>
      <w:r>
        <w:t xml:space="preserve"> </w:t>
      </w:r>
      <w:r>
        <w:t xml:space="preserve">Projet de loi de financement de la sécurité sociale pour 2026 - Sénat</w:t>
      </w:r>
    </w:p>
    <w:p>
      <w:pPr>
        <w:pStyle w:val="BodyText"/>
      </w:pPr>
      <w:hyperlink r:id="rId39">
        <w:r>
          <w:rPr>
            <w:rStyle w:val="Hyperlink"/>
          </w:rPr>
          <w:t xml:space="preserve">https://www.senat.fr/rap/l25-205/l25-205.html</w:t>
        </w:r>
      </w:hyperlink>
    </w:p>
    <w:p>
      <w:pPr>
        <w:pStyle w:val="BodyText"/>
      </w:pPr>
      <w:hyperlink r:id="rId28">
        <w:r>
          <w:rPr>
            <w:rStyle w:val="Hyperlink"/>
          </w:rPr>
          <w:t xml:space="preserve">[7]</w:t>
        </w:r>
      </w:hyperlink>
      <w:r>
        <w:t xml:space="preserve"> </w:t>
      </w:r>
      <w:hyperlink r:id="rId40">
        <w:r>
          <w:rPr>
            <w:rStyle w:val="Hyperlink"/>
          </w:rPr>
          <w:t xml:space="preserve">[8]</w:t>
        </w:r>
      </w:hyperlink>
      <w:r>
        <w:t xml:space="preserve"> </w:t>
      </w:r>
      <w:hyperlink r:id="rId41">
        <w:r>
          <w:rPr>
            <w:rStyle w:val="Hyperlink"/>
          </w:rPr>
          <w:t xml:space="preserve">[9]</w:t>
        </w:r>
      </w:hyperlink>
      <w:r>
        <w:t xml:space="preserve"> </w:t>
      </w:r>
      <w:hyperlink r:id="rId42">
        <w:r>
          <w:rPr>
            <w:rStyle w:val="Hyperlink"/>
          </w:rPr>
          <w:t xml:space="preserve">[10]</w:t>
        </w:r>
      </w:hyperlink>
      <w:r>
        <w:t xml:space="preserve"> </w:t>
      </w:r>
      <w:hyperlink r:id="rId43">
        <w:r>
          <w:rPr>
            <w:rStyle w:val="Hyperlink"/>
          </w:rPr>
          <w:t xml:space="preserve">[11]</w:t>
        </w:r>
      </w:hyperlink>
      <w:r>
        <w:t xml:space="preserve"> </w:t>
      </w:r>
      <w:hyperlink r:id="rId44">
        <w:r>
          <w:rPr>
            <w:rStyle w:val="Hyperlink"/>
          </w:rPr>
          <w:t xml:space="preserve">[12]</w:t>
        </w:r>
      </w:hyperlink>
      <w:r>
        <w:t xml:space="preserve"> </w:t>
      </w:r>
      <w:hyperlink r:id="rId45">
        <w:r>
          <w:rPr>
            <w:rStyle w:val="Hyperlink"/>
          </w:rPr>
          <w:t xml:space="preserve">[13]</w:t>
        </w:r>
      </w:hyperlink>
      <w:r>
        <w:t xml:space="preserve"> </w:t>
      </w:r>
      <w:hyperlink r:id="rId46">
        <w:r>
          <w:rPr>
            <w:rStyle w:val="Hyperlink"/>
          </w:rPr>
          <w:t xml:space="preserve">[14]</w:t>
        </w:r>
      </w:hyperlink>
      <w:r>
        <w:t xml:space="preserve"> </w:t>
      </w:r>
      <w:hyperlink r:id="rId47">
        <w:r>
          <w:rPr>
            <w:rStyle w:val="Hyperlink"/>
          </w:rPr>
          <w:t xml:space="preserve">[15]</w:t>
        </w:r>
      </w:hyperlink>
      <w:r>
        <w:t xml:space="preserve"> </w:t>
      </w:r>
      <w:hyperlink r:id="rId48">
        <w:r>
          <w:rPr>
            <w:rStyle w:val="Hyperlink"/>
          </w:rPr>
          <w:t xml:space="preserve">[16]</w:t>
        </w:r>
      </w:hyperlink>
      <w:r>
        <w:t xml:space="preserve"> </w:t>
      </w:r>
      <w:hyperlink r:id="rId49">
        <w:r>
          <w:rPr>
            <w:rStyle w:val="Hyperlink"/>
          </w:rPr>
          <w:t xml:space="preserve">[17]</w:t>
        </w:r>
      </w:hyperlink>
      <w:r>
        <w:t xml:space="preserve"> </w:t>
      </w:r>
      <w:hyperlink r:id="rId29">
        <w:r>
          <w:rPr>
            <w:rStyle w:val="Hyperlink"/>
          </w:rPr>
          <w:t xml:space="preserve">[18]</w:t>
        </w:r>
      </w:hyperlink>
      <w:r>
        <w:t xml:space="preserve"> </w:t>
      </w:r>
      <w:hyperlink r:id="rId50">
        <w:r>
          <w:rPr>
            <w:rStyle w:val="Hyperlink"/>
          </w:rPr>
          <w:t xml:space="preserve">[19]</w:t>
        </w:r>
      </w:hyperlink>
      <w:r>
        <w:t xml:space="preserve"> </w:t>
      </w:r>
      <w:hyperlink r:id="rId51">
        <w:r>
          <w:rPr>
            <w:rStyle w:val="Hyperlink"/>
          </w:rPr>
          <w:t xml:space="preserve">[20]</w:t>
        </w:r>
      </w:hyperlink>
      <w:r>
        <w:t xml:space="preserve"> </w:t>
      </w:r>
      <w:hyperlink r:id="rId52">
        <w:r>
          <w:rPr>
            <w:rStyle w:val="Hyperlink"/>
          </w:rPr>
          <w:t xml:space="preserve">[21]</w:t>
        </w:r>
      </w:hyperlink>
      <w:r>
        <w:t xml:space="preserve"> </w:t>
      </w:r>
      <w:hyperlink r:id="rId53">
        <w:r>
          <w:rPr>
            <w:rStyle w:val="Hyperlink"/>
          </w:rPr>
          <w:t xml:space="preserve">[22]</w:t>
        </w:r>
      </w:hyperlink>
      <w:r>
        <w:t xml:space="preserve"> </w:t>
      </w:r>
      <w:hyperlink r:id="rId54">
        <w:r>
          <w:rPr>
            <w:rStyle w:val="Hyperlink"/>
          </w:rPr>
          <w:t xml:space="preserve">[23]</w:t>
        </w:r>
      </w:hyperlink>
      <w:r>
        <w:t xml:space="preserve"> </w:t>
      </w:r>
      <w:hyperlink r:id="rId55">
        <w:r>
          <w:rPr>
            <w:rStyle w:val="Hyperlink"/>
          </w:rPr>
          <w:t xml:space="preserve">[24]</w:t>
        </w:r>
      </w:hyperlink>
      <w:r>
        <w:t xml:space="preserve"> </w:t>
      </w:r>
      <w:hyperlink r:id="rId56">
        <w:r>
          <w:rPr>
            <w:rStyle w:val="Hyperlink"/>
          </w:rPr>
          <w:t xml:space="preserve">[25]</w:t>
        </w:r>
      </w:hyperlink>
      <w:r>
        <w:t xml:space="preserve"> </w:t>
      </w:r>
      <w:hyperlink r:id="rId57">
        <w:r>
          <w:rPr>
            <w:rStyle w:val="Hyperlink"/>
          </w:rPr>
          <w:t xml:space="preserve">[26]</w:t>
        </w:r>
      </w:hyperlink>
      <w:r>
        <w:t xml:space="preserve"> </w:t>
      </w:r>
      <w:hyperlink r:id="rId58">
        <w:r>
          <w:rPr>
            <w:rStyle w:val="Hyperlink"/>
          </w:rPr>
          <w:t xml:space="preserve">[27]</w:t>
        </w:r>
      </w:hyperlink>
      <w:r>
        <w:t xml:space="preserve"> </w:t>
      </w:r>
      <w:hyperlink r:id="rId59">
        <w:r>
          <w:rPr>
            <w:rStyle w:val="Hyperlink"/>
          </w:rPr>
          <w:t xml:space="preserve">[28]</w:t>
        </w:r>
      </w:hyperlink>
      <w:r>
        <w:t xml:space="preserve"> </w:t>
      </w:r>
      <w:hyperlink r:id="rId28">
        <w:r>
          <w:rPr>
            <w:rStyle w:val="Hyperlink"/>
          </w:rPr>
          <w:t xml:space="preserve">[35]</w:t>
        </w:r>
      </w:hyperlink>
      <w:r>
        <w:t xml:space="preserve"> </w:t>
      </w:r>
      <w:r>
        <w:t xml:space="preserve">PLF 2026 : tableau de synthèse des principaux amendements adoptés LégiFiscal</w:t>
      </w:r>
    </w:p>
    <w:p>
      <w:pPr>
        <w:pStyle w:val="BodyText"/>
      </w:pPr>
      <w:hyperlink r:id="rId60">
        <w:r>
          <w:rPr>
            <w:rStyle w:val="Hyperlink"/>
          </w:rPr>
          <w:t xml:space="preserve">https://www.legifiscal.fr/actualites-fiscales/4312-plf-2026-tableau-synthese-principaux-amendements-adoptes.html</w:t>
        </w:r>
      </w:hyperlink>
    </w:p>
    <w:p>
      <w:pPr>
        <w:pStyle w:val="BodyText"/>
      </w:pPr>
      <w:hyperlink r:id="rId61">
        <w:r>
          <w:rPr>
            <w:rStyle w:val="Hyperlink"/>
          </w:rPr>
          <w:t xml:space="preserve">[34]</w:t>
        </w:r>
      </w:hyperlink>
      <w:r>
        <w:t xml:space="preserve"> </w:t>
      </w:r>
      <w:r>
        <w:t xml:space="preserve">Projet de loi de financement de la sécurité sociale pour 2026</w:t>
      </w:r>
    </w:p>
    <w:p>
      <w:pPr>
        <w:pStyle w:val="BodyText"/>
      </w:pPr>
      <w:hyperlink r:id="rId62">
        <w:r>
          <w:rPr>
            <w:rStyle w:val="Hyperlink"/>
          </w:rPr>
          <w:t xml:space="preserve">https://www.vie-publique.fr/loi/300445-projet-de-loi-de-financement-de-la-securite-sociale-2026-retraites-plfss</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lcp.fr/actualites/les-principales-mesures-du-budget-de-la-secu-definitivement-adopte-par-l-assemblee" TargetMode="External" /><Relationship Type="http://schemas.openxmlformats.org/officeDocument/2006/relationships/hyperlink" Id="rId37" Target="https://lcp.fr/actualites/les-principales-mesures-du-budget-de-la-secu-definitivement-adopte-par-l-assemblee#:~:text=All%C3%A8gement%20de%20cotisations%20sur%20les,heures%20suppl%C3%A9mentaires" TargetMode="External" /><Relationship Type="http://schemas.openxmlformats.org/officeDocument/2006/relationships/hyperlink" Id="rId23" Target="https://lcp.fr/actualites/les-principales-mesures-du-budget-de-la-secu-definitivement-adopte-par-l-assemblee#:~:text=Cette%20mesure%20concerne%20principalement%20les,Autonomie" TargetMode="External" /><Relationship Type="http://schemas.openxmlformats.org/officeDocument/2006/relationships/hyperlink" Id="rId34" Target="https://lcp.fr/actualites/les-principales-mesures-du-budget-de-la-secu-definitivement-adopte-par-l-assemblee#:~:text=Instauration%20d%27un%20cong%C3%A9%20suppl%C3%A9mentaire%20de,naissance" TargetMode="External" /><Relationship Type="http://schemas.openxmlformats.org/officeDocument/2006/relationships/hyperlink" Id="rId21" Target="https://lcp.fr/actualites/les-principales-mesures-du-budget-de-la-secu-definitivement-adopte-par-l-assemblee#:~:text=La%20hausse%20de%20l%27objectif%20national,vers%20celles%20de%20la%20S%C3%A9cu" TargetMode="External" /><Relationship Type="http://schemas.openxmlformats.org/officeDocument/2006/relationships/hyperlink" Id="rId30" Target="https://lcp.fr/actualites/les-principales-mesures-du-budget-de-la-secu-definitivement-adopte-par-l-assemblee#:~:text=Le%20projet%20de%20loi%20de,que%20contient%20le%20texte" TargetMode="External" /><Relationship Type="http://schemas.openxmlformats.org/officeDocument/2006/relationships/hyperlink" Id="rId22" Target="https://lcp.fr/actualites/les-principales-mesures-du-budget-de-la-secu-definitivement-adopte-par-l-assemblee#:~:text=Les%20d%C3%A9put%C3%A9s%20ont%20adopt%C3%A9%20une,%C3%A0%20doubler%20par%20d%C3%A9cret%2C%20sans" TargetMode="External" /><Relationship Type="http://schemas.openxmlformats.org/officeDocument/2006/relationships/hyperlink" Id="rId35" Target="https://lcp.fr/actualites/les-principales-mesures-du-budget-de-la-secu-definitivement-adopte-par-l-assemblee#:~:text=Limitation%20de%20la%20dur%C3%A9e%20des,arr%C3%AAts%20de%20travail" TargetMode="External" /><Relationship Type="http://schemas.openxmlformats.org/officeDocument/2006/relationships/hyperlink" Id="rId26" Target="https://lcp.fr/actualites/les-principales-mesures-du-budget-de-la-secu-definitivement-adopte-par-l-assemblee#:~:text=Quant%20au%20d%C3%A9ficit%20de%20la,vers%20celles%20de%20la%20S%C3%A9cu" TargetMode="External" /><Relationship Type="http://schemas.openxmlformats.org/officeDocument/2006/relationships/hyperlink" Id="rId24" Target="https://lcp.fr/actualites/les-principales-mesures-du-budget-de-la-secu-definitivement-adopte-par-l-assemblee#:~:text=Surtaxe%20sur%20les%20mutuelles" TargetMode="External" /><Relationship Type="http://schemas.openxmlformats.org/officeDocument/2006/relationships/hyperlink" Id="rId33" Target="https://lcp.fr/actualites/les-principales-mesures-du-budget-de-la-secu-definitivement-adopte-par-l-assemblee#:~:text=Suspension%20de%20la%20r%C3%A9forme%20des,retraites" TargetMode="External" /><Relationship Type="http://schemas.openxmlformats.org/officeDocument/2006/relationships/hyperlink" Id="rId36" Target="https://lcp.fr/actualites/les-principales-mesures-du-budget-de-la-secu-definitivement-adopte-par-l-assemblee#:~:text=m%C3%AAme%20que%20la%20fin%20de,sur%20les%20bo%C3%AEtes%20de%20m%C3%A9dicaments" TargetMode="External" /><Relationship Type="http://schemas.openxmlformats.org/officeDocument/2006/relationships/hyperlink" Id="rId60" Target="https://www.legifiscal.fr/actualites-fiscales/4312-plf-2026-tableau-synthese-principaux-amendements-adoptes.html" TargetMode="External" /><Relationship Type="http://schemas.openxmlformats.org/officeDocument/2006/relationships/hyperlink" Id="rId43" Target="https://www.legifiscal.fr/actualites-fiscales/4312-plf-2026-tableau-synthese-principaux-amendements-adoptes.html#:~:text=10" TargetMode="External" /><Relationship Type="http://schemas.openxmlformats.org/officeDocument/2006/relationships/hyperlink" Id="rId42" Target="https://www.legifiscal.fr/actualites-fiscales/4312-plf-2026-tableau-synthese-principaux-amendements-adoptes.html#:~:text=Abaissement%20du%20plafond%20du%20cr%C3%A9dit,000%20%E2%82%AC" TargetMode="External" /><Relationship Type="http://schemas.openxmlformats.org/officeDocument/2006/relationships/hyperlink" Id="rId53" Target="https://www.legifiscal.fr/actualites-fiscales/4312-plf-2026-tableau-synthese-principaux-amendements-adoptes.html#:~:text=Abaissement%20du%20seuil%20d%E2%80%99application%20du,750M%20%C3%A0%20500M%20de%20CA" TargetMode="External" /><Relationship Type="http://schemas.openxmlformats.org/officeDocument/2006/relationships/hyperlink" Id="rId49" Target="https://www.legifiscal.fr/actualites-fiscales/4312-plf-2026-tableau-synthese-principaux-amendements-adoptes.html#:~:text=Abattement%20de%20152,2026%20aux%20conjoints%20et%20descendants" TargetMode="External" /><Relationship Type="http://schemas.openxmlformats.org/officeDocument/2006/relationships/hyperlink" Id="rId41" Target="https://www.legifiscal.fr/actualites-fiscales/4312-plf-2026-tableau-synthese-principaux-amendements-adoptes.html#:~:text=D%C3%A9fiscalisation%20des%20pensions%20alimentaires%20per%C3%A7ues,000%20%E2%82%AC%20par%20an" TargetMode="External" /><Relationship Type="http://schemas.openxmlformats.org/officeDocument/2006/relationships/hyperlink" Id="rId54" Target="https://www.legifiscal.fr/actualites-fiscales/4312-plf-2026-tableau-synthese-principaux-amendements-adoptes.html#:~:text=Doublement%20du%20taux%20de%20la,de%203%20%C3%A0%206" TargetMode="External" /><Relationship Type="http://schemas.openxmlformats.org/officeDocument/2006/relationships/hyperlink" Id="rId51" Target="https://www.legifiscal.fr/actualites-fiscales/4312-plf-2026-tableau-synthese-principaux-amendements-adoptes.html#:~:text=Hausse%20de%20la%20contribution%20exceptionnelle,les%20b%C3%A9n%C3%A9fices%20des%20grandes%20entreprises" TargetMode="External" /><Relationship Type="http://schemas.openxmlformats.org/officeDocument/2006/relationships/hyperlink" Id="rId52" Target="https://www.legifiscal.fr/actualites-fiscales/4312-plf-2026-tableau-synthese-principaux-amendements-adoptes.html#:~:text=Instauration%20d%E2%80%99un%20nouvel%20imp%C3%B4t%20universel,sur%20les%20multinationales" TargetMode="External" /><Relationship Type="http://schemas.openxmlformats.org/officeDocument/2006/relationships/hyperlink" Id="rId57" Target="https://www.legifiscal.fr/actualites-fiscales/4312-plf-2026-tableau-synthese-principaux-amendements-adoptes.html#:~:text=Instauration%20d%E2%80%99une%20contribution%20sur%20les,fix%C3%A9%20entre%2020%20et%2033" TargetMode="External" /><Relationship Type="http://schemas.openxmlformats.org/officeDocument/2006/relationships/hyperlink" Id="rId50" Target="https://www.legifiscal.fr/actualites-fiscales/4312-plf-2026-tableau-synthese-principaux-amendements-adoptes.html#:~:text=Limitation%20de%20la%20taxe%20sur,holdings%20patrimoniales%20aux%20biens%20somptuaires" TargetMode="External" /><Relationship Type="http://schemas.openxmlformats.org/officeDocument/2006/relationships/hyperlink" Id="rId29" Target="https://www.legifiscal.fr/actualites-fiscales/4312-plf-2026-tableau-synthese-principaux-amendements-adoptes.html#:~:text=Maintien%20de%20la%20r%C3%A9duction%20d%E2%80%99imp%C3%B4t,pour%20frais%20de%20scolarit%C3%A9" TargetMode="External" /><Relationship Type="http://schemas.openxmlformats.org/officeDocument/2006/relationships/hyperlink" Id="rId46" Target="https://www.legifiscal.fr/actualites-fiscales/4312-plf-2026-tableau-synthese-principaux-amendements-adoptes.html#:~:text=P%C3%A9rennisation%20de%20la%20contribution%20diff%C3%A9rentielle,del%C3%A0%20de%202026" TargetMode="External" /><Relationship Type="http://schemas.openxmlformats.org/officeDocument/2006/relationships/hyperlink" Id="rId45" Target="https://www.legifiscal.fr/actualites-fiscales/4312-plf-2026-tableau-synthese-principaux-amendements-adoptes.html#:~:text=Prorogation%20de%20l%E2%80%99exon%C3%A9ration%20des%20pourboires,jusqu%E2%80%99en%202028" TargetMode="External" /><Relationship Type="http://schemas.openxmlformats.org/officeDocument/2006/relationships/hyperlink" Id="rId59" Target="https://www.legifiscal.fr/actualites-fiscales/4312-plf-2026-tableau-synthese-principaux-amendements-adoptes.html#:~:text=Rehaussement%20de%2042,du%20taux%20d%E2%80%99IS%20%C3%A0%2015" TargetMode="External" /><Relationship Type="http://schemas.openxmlformats.org/officeDocument/2006/relationships/hyperlink" Id="rId56" Target="https://www.legifiscal.fr/actualites-fiscales/4312-plf-2026-tableau-synthese-principaux-amendements-adoptes.html#:~:text=Rehaussement%20de%20la%20taxe%20sur,d%E2%80%99actions%20de%208%20%C3%A0%2033" TargetMode="External" /><Relationship Type="http://schemas.openxmlformats.org/officeDocument/2006/relationships/hyperlink" Id="rId58" Target="https://www.legifiscal.fr/actualites-fiscales/4312-plf-2026-tableau-synthese-principaux-amendements-adoptes.html#:~:text=Remboursement%20du%20CIR%20les%203,ann%C3%A9es%20en%20cas%20de%20d%C3%A9localisation" TargetMode="External" /><Relationship Type="http://schemas.openxmlformats.org/officeDocument/2006/relationships/hyperlink" Id="rId28" Target="https://www.legifiscal.fr/actualites-fiscales/4312-plf-2026-tableau-synthese-principaux-amendements-adoptes.html#:~:text=Remplacement%20de%20l%E2%80%99IFI%20par%20un,imp%C3%B4t%20sur%20la%20fortune%20improductive" TargetMode="External" /><Relationship Type="http://schemas.openxmlformats.org/officeDocument/2006/relationships/hyperlink" Id="rId47" Target="https://www.legifiscal.fr/actualites-fiscales/4312-plf-2026-tableau-synthese-principaux-amendements-adoptes.html#:~:text=Retour%20de%20l%E2%80%99Exit,n%C3%A9cessaire%20pour%20en%20%C3%AAtre%20exon%C3%A9r%C3%A9e" TargetMode="External" /><Relationship Type="http://schemas.openxmlformats.org/officeDocument/2006/relationships/hyperlink" Id="rId40" Target="https://www.legifiscal.fr/actualites-fiscales/4312-plf-2026-tableau-synthese-principaux-amendements-adoptes.html#:~:text=Revalorisation%20des%20tranches%20de%20l%E2%80%99imp%C3%B4t,sur%20le%20revenu%20de%201%2C1" TargetMode="External" /><Relationship Type="http://schemas.openxmlformats.org/officeDocument/2006/relationships/hyperlink" Id="rId44" Target="https://www.legifiscal.fr/actualites-fiscales/4312-plf-2026-tableau-synthese-principaux-amendements-adoptes.html#:~:text=Transformation%20de%20la%20r%C3%A9duction%20d%E2%80%99imp%C3%B4t,d%C3%A9pendance%20en%20cr%C3%A9dit%20d%E2%80%99imp%C3%B4t" TargetMode="External" /><Relationship Type="http://schemas.openxmlformats.org/officeDocument/2006/relationships/hyperlink" Id="rId55" Target="https://www.legifiscal.fr/actualites-fiscales/4312-plf-2026-tableau-synthese-principaux-amendements-adoptes.html#:~:text=b%C3%A9n%C3%A9fices%20%C3%A0%2015,%C3%A0%20500M%20de%20CA" TargetMode="External" /><Relationship Type="http://schemas.openxmlformats.org/officeDocument/2006/relationships/hyperlink" Id="rId48" Target="https://www.legifiscal.fr/actualites-fiscales/4312-plf-2026-tableau-synthese-principaux-amendements-adoptes.html#:~:text=n%C3%A9cessaire%20pour%20en%20%C3%AAtre%20exon%C3%A9r%C3%A9e" TargetMode="External" /><Relationship Type="http://schemas.openxmlformats.org/officeDocument/2006/relationships/hyperlink" Id="rId39" Target="https://www.senat.fr/rap/l25-205/l25-205.html" TargetMode="External" /><Relationship Type="http://schemas.openxmlformats.org/officeDocument/2006/relationships/hyperlink" Id="rId25" Target="https://www.senat.fr/rap/l25-205/l25-205.html#:~:text=,SOCIALE%20%C3%80%2019%2C4%20MILLIARDS%20D%27EUROS" TargetMode="External" /><Relationship Type="http://schemas.openxmlformats.org/officeDocument/2006/relationships/hyperlink" Id="rId62" Target="https://www.vie-publique.fr/loi/300445-projet-de-loi-de-financement-de-la-securite-sociale-2026-retraites-plfss" TargetMode="External" /><Relationship Type="http://schemas.openxmlformats.org/officeDocument/2006/relationships/hyperlink" Id="rId61" Target="https://www.vie-publique.fr/loi/300445-projet-de-loi-de-financement-de-la-securite-sociale-2026-retraites-plfss#:~:text=publique,Sant%C3%A9%20et" TargetMode="External" /></Relationships>
</file>

<file path=word/_rels/footnotes.xml.rels><?xml version="1.0" encoding="UTF-8"?><Relationships xmlns="http://schemas.openxmlformats.org/package/2006/relationships"><Relationship Type="http://schemas.openxmlformats.org/officeDocument/2006/relationships/hyperlink" Id="rId38" Target="https://lcp.fr/actualites/les-principales-mesures-du-budget-de-la-secu-definitivement-adopte-par-l-assemblee" TargetMode="External" /><Relationship Type="http://schemas.openxmlformats.org/officeDocument/2006/relationships/hyperlink" Id="rId37" Target="https://lcp.fr/actualites/les-principales-mesures-du-budget-de-la-secu-definitivement-adopte-par-l-assemblee#:~:text=All%C3%A8gement%20de%20cotisations%20sur%20les,heures%20suppl%C3%A9mentaires" TargetMode="External" /><Relationship Type="http://schemas.openxmlformats.org/officeDocument/2006/relationships/hyperlink" Id="rId23" Target="https://lcp.fr/actualites/les-principales-mesures-du-budget-de-la-secu-definitivement-adopte-par-l-assemblee#:~:text=Cette%20mesure%20concerne%20principalement%20les,Autonomie" TargetMode="External" /><Relationship Type="http://schemas.openxmlformats.org/officeDocument/2006/relationships/hyperlink" Id="rId34" Target="https://lcp.fr/actualites/les-principales-mesures-du-budget-de-la-secu-definitivement-adopte-par-l-assemblee#:~:text=Instauration%20d%27un%20cong%C3%A9%20suppl%C3%A9mentaire%20de,naissance" TargetMode="External" /><Relationship Type="http://schemas.openxmlformats.org/officeDocument/2006/relationships/hyperlink" Id="rId21" Target="https://lcp.fr/actualites/les-principales-mesures-du-budget-de-la-secu-definitivement-adopte-par-l-assemblee#:~:text=La%20hausse%20de%20l%27objectif%20national,vers%20celles%20de%20la%20S%C3%A9cu" TargetMode="External" /><Relationship Type="http://schemas.openxmlformats.org/officeDocument/2006/relationships/hyperlink" Id="rId30" Target="https://lcp.fr/actualites/les-principales-mesures-du-budget-de-la-secu-definitivement-adopte-par-l-assemblee#:~:text=Le%20projet%20de%20loi%20de,que%20contient%20le%20texte" TargetMode="External" /><Relationship Type="http://schemas.openxmlformats.org/officeDocument/2006/relationships/hyperlink" Id="rId22" Target="https://lcp.fr/actualites/les-principales-mesures-du-budget-de-la-secu-definitivement-adopte-par-l-assemblee#:~:text=Les%20d%C3%A9put%C3%A9s%20ont%20adopt%C3%A9%20une,%C3%A0%20doubler%20par%20d%C3%A9cret%2C%20sans" TargetMode="External" /><Relationship Type="http://schemas.openxmlformats.org/officeDocument/2006/relationships/hyperlink" Id="rId35" Target="https://lcp.fr/actualites/les-principales-mesures-du-budget-de-la-secu-definitivement-adopte-par-l-assemblee#:~:text=Limitation%20de%20la%20dur%C3%A9e%20des,arr%C3%AAts%20de%20travail" TargetMode="External" /><Relationship Type="http://schemas.openxmlformats.org/officeDocument/2006/relationships/hyperlink" Id="rId26" Target="https://lcp.fr/actualites/les-principales-mesures-du-budget-de-la-secu-definitivement-adopte-par-l-assemblee#:~:text=Quant%20au%20d%C3%A9ficit%20de%20la,vers%20celles%20de%20la%20S%C3%A9cu" TargetMode="External" /><Relationship Type="http://schemas.openxmlformats.org/officeDocument/2006/relationships/hyperlink" Id="rId24" Target="https://lcp.fr/actualites/les-principales-mesures-du-budget-de-la-secu-definitivement-adopte-par-l-assemblee#:~:text=Surtaxe%20sur%20les%20mutuelles" TargetMode="External" /><Relationship Type="http://schemas.openxmlformats.org/officeDocument/2006/relationships/hyperlink" Id="rId33" Target="https://lcp.fr/actualites/les-principales-mesures-du-budget-de-la-secu-definitivement-adopte-par-l-assemblee#:~:text=Suspension%20de%20la%20r%C3%A9forme%20des,retraites" TargetMode="External" /><Relationship Type="http://schemas.openxmlformats.org/officeDocument/2006/relationships/hyperlink" Id="rId36" Target="https://lcp.fr/actualites/les-principales-mesures-du-budget-de-la-secu-definitivement-adopte-par-l-assemblee#:~:text=m%C3%AAme%20que%20la%20fin%20de,sur%20les%20bo%C3%AEtes%20de%20m%C3%A9dicaments" TargetMode="External" /><Relationship Type="http://schemas.openxmlformats.org/officeDocument/2006/relationships/hyperlink" Id="rId60" Target="https://www.legifiscal.fr/actualites-fiscales/4312-plf-2026-tableau-synthese-principaux-amendements-adoptes.html" TargetMode="External" /><Relationship Type="http://schemas.openxmlformats.org/officeDocument/2006/relationships/hyperlink" Id="rId43" Target="https://www.legifiscal.fr/actualites-fiscales/4312-plf-2026-tableau-synthese-principaux-amendements-adoptes.html#:~:text=10" TargetMode="External" /><Relationship Type="http://schemas.openxmlformats.org/officeDocument/2006/relationships/hyperlink" Id="rId42" Target="https://www.legifiscal.fr/actualites-fiscales/4312-plf-2026-tableau-synthese-principaux-amendements-adoptes.html#:~:text=Abaissement%20du%20plafond%20du%20cr%C3%A9dit,000%20%E2%82%AC" TargetMode="External" /><Relationship Type="http://schemas.openxmlformats.org/officeDocument/2006/relationships/hyperlink" Id="rId53" Target="https://www.legifiscal.fr/actualites-fiscales/4312-plf-2026-tableau-synthese-principaux-amendements-adoptes.html#:~:text=Abaissement%20du%20seuil%20d%E2%80%99application%20du,750M%20%C3%A0%20500M%20de%20CA" TargetMode="External" /><Relationship Type="http://schemas.openxmlformats.org/officeDocument/2006/relationships/hyperlink" Id="rId49" Target="https://www.legifiscal.fr/actualites-fiscales/4312-plf-2026-tableau-synthese-principaux-amendements-adoptes.html#:~:text=Abattement%20de%20152,2026%20aux%20conjoints%20et%20descendants" TargetMode="External" /><Relationship Type="http://schemas.openxmlformats.org/officeDocument/2006/relationships/hyperlink" Id="rId41" Target="https://www.legifiscal.fr/actualites-fiscales/4312-plf-2026-tableau-synthese-principaux-amendements-adoptes.html#:~:text=D%C3%A9fiscalisation%20des%20pensions%20alimentaires%20per%C3%A7ues,000%20%E2%82%AC%20par%20an" TargetMode="External" /><Relationship Type="http://schemas.openxmlformats.org/officeDocument/2006/relationships/hyperlink" Id="rId54" Target="https://www.legifiscal.fr/actualites-fiscales/4312-plf-2026-tableau-synthese-principaux-amendements-adoptes.html#:~:text=Doublement%20du%20taux%20de%20la,de%203%20%C3%A0%206" TargetMode="External" /><Relationship Type="http://schemas.openxmlformats.org/officeDocument/2006/relationships/hyperlink" Id="rId51" Target="https://www.legifiscal.fr/actualites-fiscales/4312-plf-2026-tableau-synthese-principaux-amendements-adoptes.html#:~:text=Hausse%20de%20la%20contribution%20exceptionnelle,les%20b%C3%A9n%C3%A9fices%20des%20grandes%20entreprises" TargetMode="External" /><Relationship Type="http://schemas.openxmlformats.org/officeDocument/2006/relationships/hyperlink" Id="rId52" Target="https://www.legifiscal.fr/actualites-fiscales/4312-plf-2026-tableau-synthese-principaux-amendements-adoptes.html#:~:text=Instauration%20d%E2%80%99un%20nouvel%20imp%C3%B4t%20universel,sur%20les%20multinationales" TargetMode="External" /><Relationship Type="http://schemas.openxmlformats.org/officeDocument/2006/relationships/hyperlink" Id="rId57" Target="https://www.legifiscal.fr/actualites-fiscales/4312-plf-2026-tableau-synthese-principaux-amendements-adoptes.html#:~:text=Instauration%20d%E2%80%99une%20contribution%20sur%20les,fix%C3%A9%20entre%2020%20et%2033" TargetMode="External" /><Relationship Type="http://schemas.openxmlformats.org/officeDocument/2006/relationships/hyperlink" Id="rId50" Target="https://www.legifiscal.fr/actualites-fiscales/4312-plf-2026-tableau-synthese-principaux-amendements-adoptes.html#:~:text=Limitation%20de%20la%20taxe%20sur,holdings%20patrimoniales%20aux%20biens%20somptuaires" TargetMode="External" /><Relationship Type="http://schemas.openxmlformats.org/officeDocument/2006/relationships/hyperlink" Id="rId29" Target="https://www.legifiscal.fr/actualites-fiscales/4312-plf-2026-tableau-synthese-principaux-amendements-adoptes.html#:~:text=Maintien%20de%20la%20r%C3%A9duction%20d%E2%80%99imp%C3%B4t,pour%20frais%20de%20scolarit%C3%A9" TargetMode="External" /><Relationship Type="http://schemas.openxmlformats.org/officeDocument/2006/relationships/hyperlink" Id="rId46" Target="https://www.legifiscal.fr/actualites-fiscales/4312-plf-2026-tableau-synthese-principaux-amendements-adoptes.html#:~:text=P%C3%A9rennisation%20de%20la%20contribution%20diff%C3%A9rentielle,del%C3%A0%20de%202026" TargetMode="External" /><Relationship Type="http://schemas.openxmlformats.org/officeDocument/2006/relationships/hyperlink" Id="rId45" Target="https://www.legifiscal.fr/actualites-fiscales/4312-plf-2026-tableau-synthese-principaux-amendements-adoptes.html#:~:text=Prorogation%20de%20l%E2%80%99exon%C3%A9ration%20des%20pourboires,jusqu%E2%80%99en%202028" TargetMode="External" /><Relationship Type="http://schemas.openxmlformats.org/officeDocument/2006/relationships/hyperlink" Id="rId59" Target="https://www.legifiscal.fr/actualites-fiscales/4312-plf-2026-tableau-synthese-principaux-amendements-adoptes.html#:~:text=Rehaussement%20de%2042,du%20taux%20d%E2%80%99IS%20%C3%A0%2015" TargetMode="External" /><Relationship Type="http://schemas.openxmlformats.org/officeDocument/2006/relationships/hyperlink" Id="rId56" Target="https://www.legifiscal.fr/actualites-fiscales/4312-plf-2026-tableau-synthese-principaux-amendements-adoptes.html#:~:text=Rehaussement%20de%20la%20taxe%20sur,d%E2%80%99actions%20de%208%20%C3%A0%2033" TargetMode="External" /><Relationship Type="http://schemas.openxmlformats.org/officeDocument/2006/relationships/hyperlink" Id="rId58" Target="https://www.legifiscal.fr/actualites-fiscales/4312-plf-2026-tableau-synthese-principaux-amendements-adoptes.html#:~:text=Remboursement%20du%20CIR%20les%203,ann%C3%A9es%20en%20cas%20de%20d%C3%A9localisation" TargetMode="External" /><Relationship Type="http://schemas.openxmlformats.org/officeDocument/2006/relationships/hyperlink" Id="rId28" Target="https://www.legifiscal.fr/actualites-fiscales/4312-plf-2026-tableau-synthese-principaux-amendements-adoptes.html#:~:text=Remplacement%20de%20l%E2%80%99IFI%20par%20un,imp%C3%B4t%20sur%20la%20fortune%20improductive" TargetMode="External" /><Relationship Type="http://schemas.openxmlformats.org/officeDocument/2006/relationships/hyperlink" Id="rId47" Target="https://www.legifiscal.fr/actualites-fiscales/4312-plf-2026-tableau-synthese-principaux-amendements-adoptes.html#:~:text=Retour%20de%20l%E2%80%99Exit,n%C3%A9cessaire%20pour%20en%20%C3%AAtre%20exon%C3%A9r%C3%A9e" TargetMode="External" /><Relationship Type="http://schemas.openxmlformats.org/officeDocument/2006/relationships/hyperlink" Id="rId40" Target="https://www.legifiscal.fr/actualites-fiscales/4312-plf-2026-tableau-synthese-principaux-amendements-adoptes.html#:~:text=Revalorisation%20des%20tranches%20de%20l%E2%80%99imp%C3%B4t,sur%20le%20revenu%20de%201%2C1" TargetMode="External" /><Relationship Type="http://schemas.openxmlformats.org/officeDocument/2006/relationships/hyperlink" Id="rId44" Target="https://www.legifiscal.fr/actualites-fiscales/4312-plf-2026-tableau-synthese-principaux-amendements-adoptes.html#:~:text=Transformation%20de%20la%20r%C3%A9duction%20d%E2%80%99imp%C3%B4t,d%C3%A9pendance%20en%20cr%C3%A9dit%20d%E2%80%99imp%C3%B4t" TargetMode="External" /><Relationship Type="http://schemas.openxmlformats.org/officeDocument/2006/relationships/hyperlink" Id="rId55" Target="https://www.legifiscal.fr/actualites-fiscales/4312-plf-2026-tableau-synthese-principaux-amendements-adoptes.html#:~:text=b%C3%A9n%C3%A9fices%20%C3%A0%2015,%C3%A0%20500M%20de%20CA" TargetMode="External" /><Relationship Type="http://schemas.openxmlformats.org/officeDocument/2006/relationships/hyperlink" Id="rId48" Target="https://www.legifiscal.fr/actualites-fiscales/4312-plf-2026-tableau-synthese-principaux-amendements-adoptes.html#:~:text=n%C3%A9cessaire%20pour%20en%20%C3%AAtre%20exon%C3%A9r%C3%A9e" TargetMode="External" /><Relationship Type="http://schemas.openxmlformats.org/officeDocument/2006/relationships/hyperlink" Id="rId39" Target="https://www.senat.fr/rap/l25-205/l25-205.html" TargetMode="External" /><Relationship Type="http://schemas.openxmlformats.org/officeDocument/2006/relationships/hyperlink" Id="rId25" Target="https://www.senat.fr/rap/l25-205/l25-205.html#:~:text=,SOCIALE%20%C3%80%2019%2C4%20MILLIARDS%20D%27EUROS" TargetMode="External" /><Relationship Type="http://schemas.openxmlformats.org/officeDocument/2006/relationships/hyperlink" Id="rId62" Target="https://www.vie-publique.fr/loi/300445-projet-de-loi-de-financement-de-la-securite-sociale-2026-retraites-plfss" TargetMode="External" /><Relationship Type="http://schemas.openxmlformats.org/officeDocument/2006/relationships/hyperlink" Id="rId61" Target="https://www.vie-publique.fr/loi/300445-projet-de-loi-de-financement-de-la-securite-sociale-2026-retraites-plfss#:~:text=publique,Sant%C3%A9%20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2025-12-30T15:48:33Z</dcterms:created>
  <dcterms:modified xsi:type="dcterms:W3CDTF">2025-12-30T15:48:33Z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