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rial" w:hAnsi="Arial"/>
          <w:b/>
          <w:color w:val="003366"/>
          <w:sz w:val="52"/>
        </w:rPr>
        <w:t>Competitive Exam Student Analytics &amp; Mental Health Assessment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Comprehensive Consulting Diagnostic Report | Senior Data Science Practice | June 2026</w:t>
      </w:r>
    </w:p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008080"/>
          <w:sz w:val="36"/>
        </w:rPr>
        <w:t>1. Executive Summary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This diagnostic investigation evaluates student stress, preparation habits, sleep deprivation, and mental health challenges across competitive entrance exam candidates. Analysis reveals a pervasive acute stress epidemic (62%+ candidates reporting stress ≥8/10), compounded by severe sleep deprivation and a 100% absence of institutional counseling infrastructure.</w:t>
      </w:r>
    </w:p>
    <w:p>
      <w:pPr>
        <w:spacing w:before="280" w:after="120"/>
      </w:pPr>
      <w:r>
        <w:rPr>
          <w:rFonts w:ascii="Arial" w:hAnsi="Arial"/>
          <w:b/>
          <w:color w:val="008080"/>
          <w:sz w:val="36"/>
        </w:rPr>
        <w:t>2. Dataset Overview &amp; Data Quality Assessment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The primary dataset contains 250 survey observations across 17 initial attributes. Data cleaning systematically resolved missingness by dropping 4 uninformative columns, imputing missing numeric values with median statistics, and converting free-text percentile ranges into continuous metrics.</w:t>
      </w:r>
    </w:p>
    <w:p>
      <w:pPr>
        <w:spacing w:before="280" w:after="120"/>
      </w:pPr>
      <w:r>
        <w:rPr>
          <w:rFonts w:ascii="Arial" w:hAnsi="Arial"/>
          <w:b/>
          <w:color w:val="008080"/>
          <w:sz w:val="36"/>
        </w:rPr>
        <w:t>3. Key Statistical &amp; Diagnostic Findings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• Inverse Sleep Correlation: Independent sample T-tests confirm a statistically significant reduction in sleep duration among high-stress candidates (p &lt; 0.05).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• Symptom Compounding: Pearson correlation indicates strong positive co-occurrence (+0.64) between daily stress levels and physical/emotional symptom counts.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• Performance Dependency: Chi-Square testing confirms significant dependency between acute preparation stress and recent exam performance outcomes.</w:t>
      </w:r>
    </w:p>
    <w:p>
      <w:pPr>
        <w:spacing w:before="280" w:after="120"/>
      </w:pPr>
      <w:r>
        <w:rPr>
          <w:rFonts w:ascii="Arial" w:hAnsi="Arial"/>
          <w:b/>
          <w:color w:val="008080"/>
          <w:sz w:val="36"/>
        </w:rPr>
        <w:t>4. Strategic Business Recommendations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1. Institutional Support: Mandate certified psychological counseling services across all physical and online test prep organizations.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2. Enforced Rest Protocols: Integrate automated study cap reminders and wellness prompts within learning management platforms.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3. Mentorship &amp; Peer Groups: Establish structured mentorship networks to counteract severe social isolation.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