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media/rId1597277546.svg" ContentType="image/svg+xml"/>
  <Override PartName="/word/media/rId1597277559.png" ContentType="image/png"/>
  <Override PartName="/word/media/rId1597277549.png" ContentType="image/png"/>
  <Override PartName="/word/media/image1.png" ContentType="image/png"/>
  <Override PartName="/word/media/image4.svg" ContentType="image/svg+xml"/>
  <Override PartName="/word/media/image3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April 9,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1597277547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1597277548" name="Picture"/>
                    <pic:cNvPicPr>
                      <a:picLocks noChangeArrowheads="1" noChangeAspect="1"/>
                    </pic:cNvPicPr>
                  </pic:nvPicPr>
                  <pic:blipFill>
                    <a:blip r:embed="rId15972775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972775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1597277551" w:name="my-report-title"/>
    <w:p>
      <w:pPr>
        <w:pStyle w:val="Heading1"/>
      </w:pPr>
      <w:r>
        <w:t xml:space="preserve">My Report Title</w:t>
      </w:r>
    </w:p>
    <w:bookmarkStart w:id="1597277550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April 2026</w:t>
      </w:r>
    </w:p>
    <w:bookmarkEnd w:id="1597277550"/>
    <w:bookmarkEnd w:id="1597277551"/>
    <w:p>
      <w:pPr>
        <w:pStyle w:val="BodyText"/>
      </w:pPr>
    </w:p>
    <w:p>
      <w:r>
        <w:br w:type="page"/>
      </w:r>
    </w:p>
    <w:bookmarkStart w:id="159727755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1597277552"/>
    <w:bookmarkStart w:id="1597277553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1597277553"/>
    <w:bookmarkStart w:id="1597277554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p>
      <w:pPr>
        <w:pStyle w:val="Compact"/>
        <w:numPr>
          <w:ilvl w:val="0"/>
          <w:numId w:val="1002"/>
        </w:numPr>
      </w:pPr>
      <w:r>
        <w:t xml:space="preserve">Special considerations (small plots, glasshouse, genetics, breeding, OFE, bioinformatics).</w:t>
      </w:r>
    </w:p>
    <w:bookmarkEnd w:id="1597277554"/>
    <w:bookmarkStart w:id="1597277555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p>
      <w:pPr>
        <w:pStyle w:val="Compact"/>
        <w:numPr>
          <w:ilvl w:val="0"/>
          <w:numId w:val="1003"/>
        </w:numPr>
      </w:pPr>
      <w:r>
        <w:t xml:space="preserve">Rationale for visualization choices.</w:t>
      </w:r>
    </w:p>
    <w:bookmarkEnd w:id="1597277555"/>
    <w:bookmarkStart w:id="1597277556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p>
      <w:pPr>
        <w:pStyle w:val="Compact"/>
        <w:numPr>
          <w:ilvl w:val="0"/>
          <w:numId w:val="1004"/>
        </w:numPr>
      </w:pPr>
      <w:r>
        <w:t xml:space="preserve">Input/output descriptions and pre-processing steps.</w:t>
      </w:r>
    </w:p>
    <w:bookmarkEnd w:id="1597277556"/>
    <w:bookmarkStart w:id="1597277557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p>
      <w:pPr>
        <w:pStyle w:val="Compact"/>
        <w:numPr>
          <w:ilvl w:val="0"/>
          <w:numId w:val="1005"/>
        </w:numPr>
      </w:pPr>
      <w:r>
        <w:t xml:space="preserve">Model specifications and diagnostics.</w:t>
      </w:r>
    </w:p>
    <w:bookmarkEnd w:id="1597277557"/>
    <w:bookmarkStart w:id="1597277558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1597277558"/>
    <w:bookmarkStart w:id="1597277563" w:name="figure-example"/>
    <w:p>
      <w:pPr>
        <w:pStyle w:val="Heading1"/>
      </w:pPr>
      <w:r>
        <w:t xml:space="preserve">Figure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62" w:name="fig-example"/>
          <w:p>
            <w:pPr>
              <w:pStyle w:val="Compact"/>
              <w:jc w:val="center"/>
            </w:pPr>
            <w:r>
              <w:drawing>
                <wp:inline>
                  <wp:extent cx="5727700" cy="4091214"/>
                  <wp:effectExtent b="0" l="0" r="0" t="0"/>
                  <wp:docPr descr="" title="" id="1597277560" name="Picture"/>
                  <a:graphic>
                    <a:graphicData uri="http://schemas.openxmlformats.org/drawingml/2006/picture">
                      <pic:pic>
                        <pic:nvPicPr>
                          <pic:cNvPr descr="figures/fig-example-1.png" id="15972775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72775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27700" cy="40912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example figure using {ggplot2}.</w:t>
            </w:r>
          </w:p>
          <w:bookmarkEnd w:id="1597277562"/>
        </w:tc>
      </w:tr>
    </w:tbl>
    <w:bookmarkEnd w:id="1597277563"/>
    <w:bookmarkStart w:id="1597277565" w:name="table-example"/>
    <w:p>
      <w:pPr>
        <w:pStyle w:val="Heading1"/>
      </w:pPr>
      <w:r>
        <w:t xml:space="preserve">Table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64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An example table using {flextable}.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1597277564"/>
        </w:tc>
      </w:tr>
    </w:tbl>
    <w:bookmarkEnd w:id="1597277565"/>
    <w:bookmarkStart w:id="1597277566" w:name="metadata-datasets-optional"/>
    <w:p>
      <w:pPr>
        <w:pStyle w:val="Heading1"/>
      </w:pPr>
      <w:r>
        <w:t xml:space="preserve">Metadata &amp; Datasets (Optional)</w:t>
      </w:r>
    </w:p>
    <w:p>
      <w:pPr>
        <w:pStyle w:val="Compact"/>
        <w:numPr>
          <w:ilvl w:val="0"/>
          <w:numId w:val="1007"/>
        </w:numPr>
      </w:pPr>
      <w:r>
        <w:t xml:space="preserve">md5sums or checksums for inputs/outputs.</w:t>
      </w:r>
    </w:p>
    <w:p>
      <w:pPr>
        <w:pStyle w:val="Compact"/>
        <w:numPr>
          <w:ilvl w:val="0"/>
          <w:numId w:val="1007"/>
        </w:numPr>
      </w:pPr>
      <w:r>
        <w:t xml:space="preserve">Git commit hashes and tags.</w:t>
      </w:r>
    </w:p>
    <w:p>
      <w:pPr>
        <w:pStyle w:val="Compact"/>
        <w:numPr>
          <w:ilvl w:val="0"/>
          <w:numId w:val="1007"/>
        </w:numPr>
      </w:pPr>
      <w:r>
        <w:t xml:space="preserve">Output locations (FAIR Data) and DOIs.</w:t>
      </w:r>
    </w:p>
    <w:bookmarkEnd w:id="1597277566"/>
    <w:bookmarkStart w:id="1597277567" w:name="map-optional"/>
    <w:p>
      <w:pPr>
        <w:pStyle w:val="Heading1"/>
      </w:pPr>
      <w:r>
        <w:t xml:space="preserve">Map (Optional)</w:t>
      </w:r>
    </w:p>
    <w:p>
      <w:pPr>
        <w:pStyle w:val="FirstParagraph"/>
      </w:pPr>
      <w:r>
        <w:t xml:space="preserve">Include maps or geospatial outputs if relevant.</w:t>
      </w:r>
    </w:p>
    <w:bookmarkEnd w:id="1597277567"/>
    <w:bookmarkStart w:id="1597277569" w:name="references"/>
    <w:p>
      <w:pPr>
        <w:pStyle w:val="Heading1"/>
      </w:pPr>
      <w:r>
        <w:t xml:space="preserve">References</w:t>
      </w:r>
    </w:p>
    <w:bookmarkStart w:id="1597277568" w:name="refs"/>
    <w:bookmarkEnd w:id="1597277568"/>
    <w:bookmarkEnd w:id="1597277569"/>
    <w:bookmarkStart w:id="1597277570" w:name="appendix-optional"/>
    <w:p>
      <w:pPr>
        <w:pStyle w:val="Heading1"/>
      </w:pPr>
      <w:r>
        <w:t xml:space="preserve">Appendix (Optional)</w:t>
      </w:r>
    </w:p>
    <w:p>
      <w:pPr>
        <w:pStyle w:val="FirstParagraph"/>
      </w:pPr>
      <w:r>
        <w:t xml:space="preserve">Supplementary information, extended tables, code snippets.</w:t>
      </w:r>
    </w:p>
    <w:bookmarkEnd w:id="1597277570"/>
    <w:sectPr>
      <w:footerReference r:id="rId5" w:type="even"/>
      <w:footerReference r:id="rId6" w:type="default"/>
      <w:footerReference r:id="rId7" w:type="first"/>
      <w:type w:val="nextPage"/>
      <w:pgSz w:h="16838" w:orient="portrait" w:w="11906"/>
      <w:pgMar w:bottom="1440" w:footer="708" w:gutter="0" w:header="0" w:left="1440" w:right="1440" w:top="1440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  <w:font w:name="Apto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547A01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043CB0F" wp14:textId="77777777"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459315" wp14:textId="77777777">
    <w:pPr>
      <w:pStyle w:val="Footer"/>
      <w:jc w:val="cen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537F28F" wp14:textId="77777777"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590CB77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13E490F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37805D2" wp14:textId="77777777"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4E21C8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E7E8978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90C459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630AD66" wp14:textId="77777777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DFB9E2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0DF9E56" wp14:textId="77777777">
    <w:pPr>
      <w:pStyle w:val="Header"/>
      <w:rPr/>
    </w:pPr>
    <w:r>
      <w:rPr/>
    </w:r>
  </w:p>
  <w:p xmlns:wp14="http://schemas.microsoft.com/office/word/2010/wordml" w14:paraId="44E871BC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44A5D23" wp14:textId="77777777">
    <w:pPr>
      <w:pStyle w:val="Header"/>
      <w:rPr/>
    </w:pPr>
    <w:r>
      <w:rPr/>
    </w:r>
  </w:p>
  <w:p xmlns:wp14="http://schemas.microsoft.com/office/word/2010/wordml" w14:paraId="738610EB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63F29E8" wp14:textId="77777777"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B7B4B86" wp14:textId="77777777">
    <w:pPr>
      <w:pStyle w:val="Header"/>
      <w:rPr/>
    </w:pPr>
    <w:r>
      <w:rPr/>
    </w:r>
  </w:p>
  <w:p xmlns:wp14="http://schemas.microsoft.com/office/word/2010/wordml" w14:paraId="072C0FD6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A0FF5F2" wp14:textId="77777777">
    <w:pPr>
      <w:pStyle w:val="Header"/>
      <w:rPr/>
    </w:pPr>
    <w:r>
      <w:rPr/>
    </w:r>
  </w:p>
  <w:p xmlns:wp14="http://schemas.microsoft.com/office/word/2010/wordml" w14:paraId="58918734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8c4657a"/>
  </w:abstractNum>
  <w:abstractNum w:abstractNumId="2">
    <w:lvl w:ilvl="0">
      <w:start w:val="1"/>
      <w:numFmt w:val="upperLetter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4ccf13a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 w:val="true"/>
      <w:keepLines/>
      <w:numPr>
        <w:ilvl w:val="1"/>
        <w:numId w:val="1"/>
      </w:numPr>
      <w:spacing w:after="80" w:before="160"/>
      <w:outlineLvl w:val="1"/>
    </w:pPr>
    <w:rPr>
      <w:rFonts w:cs="" w:cstheme="majorBidi" w:eastAsia="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 w:val="true"/>
      <w:keepLines/>
      <w:numPr>
        <w:ilvl w:val="2"/>
        <w:numId w:val="1"/>
      </w:numPr>
      <w:spacing w:after="80" w:before="160"/>
      <w:outlineLvl w:val="2"/>
    </w:pPr>
    <w:rPr>
      <w:rFonts w:cs="" w:cstheme="majorBidi" w:eastAsia="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 w:val="true"/>
      <w:keepLines/>
      <w:numPr>
        <w:ilvl w:val="3"/>
        <w:numId w:val="1"/>
      </w:numPr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 w:val="true"/>
      <w:keepLines/>
      <w:numPr>
        <w:ilvl w:val="4"/>
        <w:numId w:val="1"/>
      </w:numPr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 w:val="true"/>
      <w:keepLines/>
      <w:numPr>
        <w:ilvl w:val="5"/>
        <w:numId w:val="1"/>
      </w:numPr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 w:val="true"/>
      <w:keepLines/>
      <w:numPr>
        <w:ilvl w:val="6"/>
        <w:numId w:val="1"/>
      </w:numPr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 w:val="true"/>
      <w:keepLines/>
      <w:numPr>
        <w:ilvl w:val="7"/>
        <w:numId w:val="1"/>
      </w:numPr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 w:val="true"/>
      <w:keepLines/>
      <w:numPr>
        <w:ilvl w:val="8"/>
        <w:numId w:val="1"/>
      </w:numPr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="" w:cstheme="majorBidi" w:eastAsia="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="" w:cstheme="majorBidi" w:eastAsia="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before="0" w:line="240" w:lineRule="auto"/>
      <w:contextualSpacing/>
    </w:pPr>
    <w:rPr>
      <w:rFonts w:cs="" w:cstheme="majorBidi" w:eastAsia="" w:eastAsiaTheme="majorEastAsia"/>
      <w:b/>
      <w:color w:val="00808B"/>
      <w:spacing w:val="-10"/>
      <w:kern w:val="2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after="160"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ilvl w:val="0"/>
        <w:numId w:val="1"/>
      </w:num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 w:before="0"/>
      <w:ind w:start="440"/>
    </w:pPr>
    <w:rPr/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start"/>
    </w:pPr>
    <w:rPr/>
  </w:style>
  <w:style w:styleId="TOC4" w:type="paragraph">
    <w:name w:val="toc 4"/>
    <w:basedOn w:val="Index"/>
    <w:pPr/>
    <w:rPr/>
  </w:style>
  <w:style w:styleId="TOC5" w:type="paragraph">
    <w:name w:val="toc 5"/>
    <w:basedOn w:val="Index"/>
    <w:pPr/>
    <w:rPr/>
  </w:style>
  <w:style w:styleId="TOC6" w:type="paragraph">
    <w:name w:val="toc 6"/>
    <w:basedOn w:val="Index"/>
    <w:pPr/>
    <w:rPr/>
  </w:style>
  <w:style w:styleId="TOC7" w:type="paragraph">
    <w:name w:val="toc 7"/>
    <w:basedOn w:val="Index"/>
    <w:pPr/>
    <w:rPr/>
  </w:style>
  <w:style w:styleId="TOC8" w:type="paragraph">
    <w:name w:val="toc 8"/>
    <w:basedOn w:val="Index"/>
    <w:pPr/>
    <w:rPr/>
  </w:style>
  <w:style w:styleId="TOC9" w:type="paragraph">
    <w:name w:val="toc 9"/>
    <w:basedOn w:val="Index"/>
    <w:pPr/>
    <w:rPr/>
  </w:style>
  <w:style w:styleId="FrameContents" w:type="paragraph">
    <w:name w:val="Frame Contents"/>
    <w:basedOn w:val="Normal"/>
    <w:qFormat/>
    <w:pPr/>
    <w:rPr/>
  </w:style>
  <w:style w:default="1" w:styleId="NoList" w:type="numbering">
    <w:name w:val="No List"/>
    <w:uiPriority w:val="99"/>
    <w:semiHidden/>
    <w:unhideWhenUsed/>
    <w:qFormat/>
  </w:style>
  <w:style w:customStyle="1" w:styleId="Style11" w:type="numbering">
    <w:name w:val="Style1"/>
    <w:uiPriority w:val="99"/>
    <w:qFormat/>
    <w:rsid w:val="00d751f5"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a1493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97277545" Target="numbering.xml" /><Relationship Type="http://schemas.openxmlformats.org/officeDocument/2006/relationships/styles" Id="rId1597277544" Target="styles.xml" /><Relationship Type="http://schemas.openxmlformats.org/officeDocument/2006/relationships/settings" Id="rId1597277543" Target="settings.xml" /><Relationship Type="http://schemas.openxmlformats.org/officeDocument/2006/relationships/webSettings" Id="rId1597277542" Target="webSettings.xml" /><Relationship Type="http://schemas.openxmlformats.org/officeDocument/2006/relationships/fontTable" Id="rId1597277541" Target="fontTable.xml" /><Relationship Type="http://schemas.openxmlformats.org/officeDocument/2006/relationships/theme" Id="rId1597277540" Target="theme/theme1.xml" /><Relationship Type="http://schemas.openxmlformats.org/officeDocument/2006/relationships/footnotes" Id="rId1597277539" Target="footnotes.xml" /><Relationship Type="http://schemas.openxmlformats.org/officeDocument/2006/relationships/comments" Id="rId1597277538" Target="comments.xml" /><Relationship Id="rId2" Target="media/image1.png" Type="http://schemas.openxmlformats.org/officeDocument/2006/relationships/image" /><Relationship Id="rId5" Target="footer1.xml" Type="http://schemas.openxmlformats.org/officeDocument/2006/relationships/footer" /><Relationship Id="rId6" Target="footer2.xml" Type="http://schemas.openxmlformats.org/officeDocument/2006/relationships/footer" /><Relationship Id="rId7" Target="footer3.xml" Type="http://schemas.openxmlformats.org/officeDocument/2006/relationships/footer" /><Relationship Id="rId8" Target="footer4.xml" Type="http://schemas.openxmlformats.org/officeDocument/2006/relationships/footer" /><Relationship Id="rId9" Target="footer5.xml" Type="http://schemas.openxmlformats.org/officeDocument/2006/relationships/footer" /><Relationship Id="rId10" Target="footer6.xml" Type="http://schemas.openxmlformats.org/officeDocument/2006/relationships/footer" /><Relationship Id="rId11" Target="header1.xml" Type="http://schemas.openxmlformats.org/officeDocument/2006/relationships/header" /><Relationship Id="rId12" Target="header2.xml" Type="http://schemas.openxmlformats.org/officeDocument/2006/relationships/header" /><Relationship Id="rId13" Target="header3.xml" Type="http://schemas.openxmlformats.org/officeDocument/2006/relationships/header" /><Relationship Id="rId14" Target="footer7.xml" Type="http://schemas.openxmlformats.org/officeDocument/2006/relationships/footer" /><Relationship Id="rId15" Target="footer8.xml" Type="http://schemas.openxmlformats.org/officeDocument/2006/relationships/footer" /><Relationship Id="rId16" Target="footer9.xml" Type="http://schemas.openxmlformats.org/officeDocument/2006/relationships/footer" /><Relationship Id="rId17" Target="media/image3.png" Type="http://schemas.openxmlformats.org/officeDocument/2006/relationships/image" /><Relationship Id="rId18" Target="media/image4.svg" Type="http://schemas.openxmlformats.org/officeDocument/2006/relationships/image" /><Relationship Id="rId19" Target="media/image5.png" Type="http://schemas.openxmlformats.org/officeDocument/2006/relationships/image" /><Relationship Id="rId20" Target="header4.xml" Type="http://schemas.openxmlformats.org/officeDocument/2006/relationships/header" /><Relationship Id="rId21" Target="header5.xml" Type="http://schemas.openxmlformats.org/officeDocument/2006/relationships/header" /><Relationship Id="rId22" Target="header6.xml" Type="http://schemas.openxmlformats.org/officeDocument/2006/relationships/header" /><Relationship Id="rId23" Target="footer10.xml" Type="http://schemas.openxmlformats.org/officeDocument/2006/relationships/footer" /><Relationship Id="rId24" Target="footer11.xml" Type="http://schemas.openxmlformats.org/officeDocument/2006/relationships/footer" /><Relationship Id="rId1597277537" Target="/media/image5.png" Type="http://schemas.openxmlformats.org/officeDocument/2006/relationships/image" /><Relationship Type="http://schemas.openxmlformats.org/officeDocument/2006/relationships/image" Id="rId1597277546" Target="media/rId1597277546.svg" /><Relationship Type="http://schemas.openxmlformats.org/officeDocument/2006/relationships/image" Id="rId1597277559" Target="media/rId1597277559.png" /><Relationship Type="http://schemas.openxmlformats.org/officeDocument/2006/relationships/image" Id="rId1597277549" Target="media/rId159727754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AAGI Report.dotx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2026-04-09T14:15:46Z</dcterms:created>
  <dcterms:modified xsi:type="dcterms:W3CDTF">2026-04-09T14:15:46Z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_extensions/AAGI-AUS/aagi/assets/biometrics.csl</vt:lpwstr>
  </property>
  <property fmtid="{D5CDD505-2E9C-101B-9397-08002B2CF9AE}" pid="7" name="date">
    <vt:lpwstr>April 9, 2026</vt:lpwstr>
  </property>
  <property fmtid="{D5CDD505-2E9C-101B-9397-08002B2CF9AE}" pid="8" name="date-format">
    <vt:lpwstr>long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