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7.png" ContentType="image/png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 for the Australian Grains Industry - Curtin University (AAGI-CU)</w:t>
      </w:r>
      <w:r>
        <w:br/>
      </w:r>
      <w:r>
        <w:t xml:space="preserve">Technical Report Series: 123</w:t>
      </w:r>
    </w:p>
    <w:p>
      <w:pPr>
        <w:pStyle w:val="Subtitle"/>
      </w:pPr>
      <w:r>
        <w:t xml:space="preserve">Descriptive title for report</w:t>
      </w:r>
      <w:r>
        <w:br/>
      </w:r>
      <w:r>
        <w:t xml:space="preserve">Report for AAA–BBB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November 27, 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304D2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hyperlink" Id="rId36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Prepared for: collab_partner (collab_partner@email.com.au); Prepared by: Your.Name; Project Lead: Curtin University – Prof Mark Gibberd, Dr Julia Easton, Prof Adam Sparks; email: cbada@curtin.edu.au</dc:creator>
  <cp:keywords/>
  <dcterms:created xsi:type="dcterms:W3CDTF">2024-11-27T07:10:38Z</dcterms:created>
  <dcterms:modified xsi:type="dcterms:W3CDTF">2024-11-27T07:10:38Z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November 27,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