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360" w:lineRule="auto"/>
        <w:jc w:val="center"/>
      </w:pPr>
      <w:r>
        <w:rPr>
          <w:rFonts w:ascii="Montserrat" w:hAnsi="Montserrat" w:eastAsia="Montserrat"/>
          <w:b/>
          <w:i w:val="0"/>
          <w:color w:val="670000"/>
          <w:sz w:val="32"/>
        </w:rPr>
        <w:t>GUIA DE INTEGRAÇÃO – ANIVERSARIANTES DO MÊS</w:t>
      </w:r>
    </w:p>
    <w:p>
      <w:pPr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sz w:val="18"/>
        </w:rPr>
        <w:t>Tabela 1 – Controle de Revisões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Revisão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Descrição da Alteração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00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01/10/2026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Emissão inicial.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SGI</w:t>
            </w:r>
          </w:p>
        </w:tc>
      </w:tr>
    </w:tbl>
    <w:p>
      <w:pPr>
        <w:spacing w:before="0" w:after="0" w:line="360" w:lineRule="auto"/>
        <w:jc w:val="left"/>
      </w:pPr>
      <w:r>
        <w:rPr>
          <w:rFonts w:ascii="Montserrat" w:hAnsi="Montserrat" w:eastAsia="Montserrat"/>
          <w:b w:val="0"/>
          <w:i w:val="0"/>
          <w:color w:val="787878"/>
          <w:sz w:val="16"/>
        </w:rPr>
        <w:t>Fonte: Elaboração própria.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1 OBJETIVO</w:t>
      </w:r>
    </w:p>
    <w:p>
      <w:pPr>
        <w:spacing w:before="0" w:after="0" w:line="360" w:lineRule="auto"/>
        <w:ind w:firstLine="709"/>
        <w:jc w:val="both"/>
      </w:pPr>
      <w:r>
        <w:rPr>
          <w:rFonts w:ascii="Montserrat" w:hAnsi="Montserrat" w:eastAsia="Montserrat"/>
          <w:b w:val="0"/>
          <w:i w:val="0"/>
          <w:sz w:val="20"/>
        </w:rPr>
        <w:t>Estabelecer as informações, as credenciais e as etapas necessárias para que a equipe de Recursos Humanos (RH) conecte o sistema de RH ao servidor de comunicados da AAHBRANT, de modo a agendar, a cada mês, o comunicado de aniversariantes do mês seguinte.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2 CAMPO DE APLICAÇÃO</w:t>
      </w:r>
    </w:p>
    <w:p>
      <w:pPr>
        <w:spacing w:before="0" w:after="0" w:line="360" w:lineRule="auto"/>
        <w:ind w:firstLine="709"/>
        <w:jc w:val="both"/>
      </w:pPr>
      <w:r>
        <w:rPr>
          <w:rFonts w:ascii="Montserrat" w:hAnsi="Montserrat" w:eastAsia="Montserrat"/>
          <w:b w:val="0"/>
          <w:i w:val="0"/>
          <w:sz w:val="20"/>
        </w:rPr>
        <w:t>Aplica-se à equipe de RH, à Tecnologia da Informação (TI) e ao responsável pelo servidor de comunicados, no que se refere ao comunicado mensal de aniversariantes.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3 REFERÊNCIAS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Lei nº 13.709/2018 (Lei Geral de Proteção de Dados Pessoais – LGPD).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Política interna de divulgação de dados de colaboradores (a confirmar com o RH e o Jurídico).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4 DEFINIÇÕES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/>
          <w:i w:val="0"/>
          <w:sz w:val="20"/>
        </w:rPr>
        <w:t xml:space="preserve">MCP (Model Context Protocol): </w:t>
      </w:r>
      <w:r>
        <w:rPr>
          <w:rFonts w:ascii="Montserrat" w:hAnsi="Montserrat" w:eastAsia="Montserrat"/>
          <w:b w:val="0"/>
          <w:i w:val="0"/>
          <w:sz w:val="20"/>
        </w:rPr>
        <w:t>conjunto de ferramentas que permite a um sistema ou assistente de inteligência artificial acionar o servidor de comunicados.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/>
          <w:i w:val="0"/>
          <w:sz w:val="20"/>
        </w:rPr>
        <w:t xml:space="preserve">Chave de API: </w:t>
      </w:r>
      <w:r>
        <w:rPr>
          <w:rFonts w:ascii="Montserrat" w:hAnsi="Montserrat" w:eastAsia="Montserrat"/>
          <w:b w:val="0"/>
          <w:i w:val="0"/>
          <w:sz w:val="20"/>
        </w:rPr>
        <w:t>chave de acesso individual, que identifica quem solicita o envio e é registrada no relatório de auditoria.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/>
          <w:i w:val="0"/>
          <w:sz w:val="20"/>
        </w:rPr>
        <w:t xml:space="preserve">Agendamento: </w:t>
      </w:r>
      <w:r>
        <w:rPr>
          <w:rFonts w:ascii="Montserrat" w:hAnsi="Montserrat" w:eastAsia="Montserrat"/>
          <w:b w:val="0"/>
          <w:i w:val="0"/>
          <w:sz w:val="20"/>
        </w:rPr>
        <w:t>comunicado programado para disparo automático em data e hora futuras, aprovado no momento do agendamento.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/>
          <w:i w:val="0"/>
          <w:sz w:val="20"/>
        </w:rPr>
        <w:t xml:space="preserve">Modo teste: </w:t>
      </w:r>
      <w:r>
        <w:rPr>
          <w:rFonts w:ascii="Montserrat" w:hAnsi="Montserrat" w:eastAsia="Montserrat"/>
          <w:b w:val="0"/>
          <w:i w:val="0"/>
          <w:sz w:val="20"/>
        </w:rPr>
        <w:t>execução que envia o comunicado somente para o e-mail de teste, sem alcançar os destinatários reais.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5 RESPONSABILIDADES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sz w:val="18"/>
        </w:rPr>
        <w:t>Tabela 2 –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6520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RH</w:t>
            </w:r>
          </w:p>
        </w:tc>
        <w:tc>
          <w:tcPr>
            <w:tcW w:type="dxa" w:w="6520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Fornecer a lista de aniversariantes, aprovar o texto e a arte do comunicado e acompanhar o envio.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TI / responsável pelo servidor</w:t>
            </w:r>
          </w:p>
        </w:tc>
        <w:tc>
          <w:tcPr>
            <w:tcW w:type="dxa" w:w="6520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Criar a chave de API exclusiva do RH, informar o endereço do servidor e garantir o acesso externo seguro.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Jurídico</w:t>
            </w:r>
          </w:p>
        </w:tc>
        <w:tc>
          <w:tcPr>
            <w:tcW w:type="dxa" w:w="6520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Validar a base legal e os limites de divulgação dos dados pessoais (LGPD).</w:t>
            </w:r>
          </w:p>
        </w:tc>
      </w:tr>
      <w:tr>
        <w:tc>
          <w:tcPr>
            <w:tcW w:type="dxa" w:w="255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SGI</w:t>
            </w:r>
          </w:p>
        </w:tc>
        <w:tc>
          <w:tcPr>
            <w:tcW w:type="dxa" w:w="6520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Atribuir o sequencial do documento e controlar suas revisões.</w:t>
            </w:r>
          </w:p>
        </w:tc>
      </w:tr>
    </w:tbl>
    <w:p>
      <w:pPr>
        <w:spacing w:before="0" w:after="0" w:line="360" w:lineRule="auto"/>
        <w:jc w:val="left"/>
      </w:pPr>
      <w:r>
        <w:rPr>
          <w:rFonts w:ascii="Montserrat" w:hAnsi="Montserrat" w:eastAsia="Montserrat"/>
          <w:b w:val="0"/>
          <w:i w:val="0"/>
          <w:color w:val="787878"/>
          <w:sz w:val="16"/>
        </w:rPr>
        <w:t>Fonte: Elaboração própria.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6 RECURSOS NECESSÁRIOS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sz w:val="18"/>
        </w:rPr>
        <w:t>Tabela 3 – Itens a serem fornecidos à equipe de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Finalidade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Endereço do servidor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Local de destino das chamadas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Domínio identificado (ver 7.1); caminho exato a confirmar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Chave de API exclusiva do RH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Autenticar e auditar as solicitações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 criar pela TI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Formato e cabeçalho de autenticação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Montar a chamada corretamente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 confirmar no código do servidor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Campos do comunicado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Preencher o agendamento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Definidos (Anexo A)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E-mail de teste @aahbrant.com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Validar antes da produção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 definir pelo RH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Lista de destinatários ou grupo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Definir quem recebe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Grupo padrão já configurado no servidor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Acesso externo liberado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Permitir que o sistema de RH alcance o servidor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Pendente (ver 7.2)</w:t>
            </w:r>
          </w:p>
        </w:tc>
      </w:tr>
    </w:tbl>
    <w:p>
      <w:pPr>
        <w:spacing w:before="0" w:after="0" w:line="360" w:lineRule="auto"/>
        <w:jc w:val="left"/>
      </w:pPr>
      <w:r>
        <w:rPr>
          <w:rFonts w:ascii="Montserrat" w:hAnsi="Montserrat" w:eastAsia="Montserrat"/>
          <w:b w:val="0"/>
          <w:i w:val="0"/>
          <w:color w:val="787878"/>
          <w:sz w:val="16"/>
        </w:rPr>
        <w:t>Fonte: Elaboração própria.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7 DESCRIÇÃO DO PROCEDIMENTO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2"/>
        </w:rPr>
        <w:t>7.1 Informações verificadas no servidor</w:t>
      </w:r>
    </w:p>
    <w:p>
      <w:pPr>
        <w:spacing w:before="0" w:after="0" w:line="360" w:lineRule="auto"/>
        <w:ind w:firstLine="709"/>
        <w:jc w:val="both"/>
      </w:pPr>
      <w:r>
        <w:rPr>
          <w:rFonts w:ascii="Montserrat" w:hAnsi="Montserrat" w:eastAsia="Montserrat"/>
          <w:b w:val="0"/>
          <w:i w:val="0"/>
          <w:sz w:val="20"/>
        </w:rPr>
        <w:t>Em consulta ao projeto de hospedagem do servidor (comunicados-aahbrant), realizada em 01/10/2026, sem leitura de valores secretos, foram verificados os seguintes pontos: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O servidor encontra-se publicado em produção, com a última publicação em estado “pronta”.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Os domínios de acesso são comunicados-aahbrant.vercel.app e comunicados-aahbrant-leto-s-projects2.vercel.app.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Existem variáveis de configuração para remetente, grupo padrão de destinatários, e-mail de teste, integração com a Microsoft, SharePoint, fila de agendamento e banco de dados do contador de protocolos.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Há mais de uma chave de API cadastrada (uma geral e uma nominal), o que indica o padrão de uma chave por solicitante.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2"/>
        </w:rPr>
        <w:t>7.2 Acesso externo ao servidor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4" w:color="787878"/>
              <w:left w:val="single" w:sz="4" w:color="787878"/>
              <w:bottom w:val="single" w:sz="4" w:color="787878"/>
              <w:right w:val="single" w:sz="4" w:color="787878"/>
            </w:tcBorders>
            <w:shd w:val="clear" w:color="auto" w:fill="EBE9AD"/>
          </w:tcPr>
          <w:p>
            <w:pPr>
              <w:spacing w:before="6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olor w:val="670000"/>
                <w:sz w:val="18"/>
              </w:rPr>
              <w:t xml:space="preserve">Importante: </w:t>
            </w:r>
            <w:r>
              <w:rPr>
                <w:rFonts w:ascii="Montserrat" w:hAnsi="Montserrat" w:eastAsia="Montserrat"/>
                <w:b w:val="0"/>
                <w:i w:val="0"/>
                <w:sz w:val="18"/>
              </w:rPr>
              <w:t>Os domínios acima estão com a proteção por login da plataforma de hospedagem ativa. Por isso, uma chamada automática vinda do sistema de RH poderá ser bloqueada antes de alcançar o servidor. A TI deve definir uma das alternativas: (a) cadastrar um domínio próprio da AAHBRANT para o servidor; ou (b) configurar uma exceção de acesso (bypass) controlada para o sistema de RH. Essa decisão deve ser tomada antes da implementação.</w:t>
            </w:r>
          </w:p>
        </w:tc>
      </w:tr>
    </w:tbl>
    <w:p>
      <w:pPr>
        <w:spacing w:before="0" w:after="0" w:line="240" w:lineRule="auto"/>
        <w:jc w:val="both"/>
      </w:pP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2"/>
        </w:rPr>
        <w:t>7.3 Chave de API do RH</w:t>
      </w:r>
    </w:p>
    <w:p>
      <w:pPr>
        <w:spacing w:before="0" w:after="0" w:line="360" w:lineRule="auto"/>
        <w:ind w:firstLine="709"/>
        <w:jc w:val="both"/>
      </w:pPr>
      <w:r>
        <w:rPr>
          <w:rFonts w:ascii="Montserrat" w:hAnsi="Montserrat" w:eastAsia="Montserrat"/>
          <w:b w:val="0"/>
          <w:i w:val="0"/>
          <w:sz w:val="20"/>
        </w:rPr>
        <w:t>A TI deve criar uma chave exclusiva para o RH, sem reaproveitar a chave de outra pessoa. O servidor registra, no relatório de auditoria, a identidade real definida pela chave utilizada, e não apenas o nome digitado no campo “solicitante”. A chave deve ser entregue por canal seguro (gerenciador de senhas), nunca por e-mail ou aplicativo de mensagens.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2"/>
        </w:rPr>
        <w:t>7.4 Dados de entrada fornecidos pelo sistema de RH</w:t>
      </w:r>
    </w:p>
    <w:p>
      <w:pPr>
        <w:spacing w:before="0" w:after="0" w:line="360" w:lineRule="auto"/>
        <w:ind w:firstLine="709"/>
        <w:jc w:val="both"/>
      </w:pPr>
      <w:r>
        <w:rPr>
          <w:rFonts w:ascii="Montserrat" w:hAnsi="Montserrat" w:eastAsia="Montserrat"/>
          <w:b w:val="0"/>
          <w:i w:val="0"/>
          <w:sz w:val="20"/>
        </w:rPr>
        <w:t>O servidor de comunicados não lê o sistema de RH por conta própria. O sistema de RH deve entregar, a cada mês, a lista de aniversariantes do mês seguinte (nome, dia e mês, setor) e o texto do comunicado, ou acionar o agendamento já com esse texto montado.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4" w:color="787878"/>
              <w:left w:val="single" w:sz="4" w:color="787878"/>
              <w:bottom w:val="single" w:sz="4" w:color="787878"/>
              <w:right w:val="single" w:sz="4" w:color="787878"/>
            </w:tcBorders>
            <w:shd w:val="clear" w:color="auto" w:fill="EBE9AD"/>
          </w:tcPr>
          <w:p>
            <w:pPr>
              <w:spacing w:before="6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olor w:val="670000"/>
                <w:sz w:val="18"/>
              </w:rPr>
              <w:t xml:space="preserve">Atenção: </w:t>
            </w:r>
            <w:r>
              <w:rPr>
                <w:rFonts w:ascii="Montserrat" w:hAnsi="Montserrat" w:eastAsia="Montserrat"/>
                <w:b w:val="0"/>
                <w:i w:val="0"/>
                <w:sz w:val="18"/>
              </w:rPr>
              <w:t>Recomenda-se divulgar somente dia e mês, sem o ano de nascimento. A divulgação de datas de aniversário deve estar prevista em política interna e ser validada pelo RH e pelo Jurídico, conforme a LGPD.</w:t>
            </w:r>
          </w:p>
        </w:tc>
      </w:tr>
    </w:tbl>
    <w:p>
      <w:pPr>
        <w:spacing w:before="0" w:after="0" w:line="240" w:lineRule="auto"/>
        <w:jc w:val="both"/>
      </w:pP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2"/>
        </w:rPr>
        <w:t>7.5 Chamada de agendamento</w:t>
      </w:r>
    </w:p>
    <w:p>
      <w:pPr>
        <w:spacing w:before="0" w:after="0" w:line="360" w:lineRule="auto"/>
        <w:ind w:firstLine="709"/>
        <w:jc w:val="both"/>
      </w:pPr>
      <w:r>
        <w:rPr>
          <w:rFonts w:ascii="Montserrat" w:hAnsi="Montserrat" w:eastAsia="Montserrat"/>
          <w:b w:val="0"/>
          <w:i w:val="0"/>
          <w:sz w:val="20"/>
        </w:rPr>
        <w:t>A ferramenta utilizada é o agendamento de comunicado. Os campos obrigatórios e os principais campos opcionais estão descritos na Tabela 4. O exemplo completo consta no Anexo A.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sz w:val="18"/>
        </w:rPr>
        <w:t>Tabela 4 – Campos da chamada de agendamento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Obrigatório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Valor para aniversariantes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assunto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Aniversariantes de [Mês]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assunto_sem_prefixo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true (assunto limpo, sem prefixo e protocolo)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titulo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Aniversariantes de [Mês]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mensagem_principal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Texto com a lista; aceita **negrito**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data_comunicado / hora_comunicado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Primeiro dia do mês e hora de referência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data_hora_agendada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Data e hora do disparo, com fuso (ex.: -03:00)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setor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RH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solicitante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Nome do responsável do RH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modo_teste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true nos testes; false em produção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confirmar_envio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“SIM” (somente após aprovação do RH)</w:t>
            </w:r>
          </w:p>
        </w:tc>
      </w:tr>
      <w:tr>
        <w:tc>
          <w:tcPr>
            <w:tcW w:type="dxa" w:w="2948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formato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4649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Paisagem (padrão) ou A4</w:t>
            </w:r>
          </w:p>
        </w:tc>
      </w:tr>
    </w:tbl>
    <w:p>
      <w:pPr>
        <w:spacing w:before="0" w:after="0" w:line="360" w:lineRule="auto"/>
        <w:jc w:val="left"/>
      </w:pPr>
      <w:r>
        <w:rPr>
          <w:rFonts w:ascii="Montserrat" w:hAnsi="Montserrat" w:eastAsia="Montserrat"/>
          <w:b w:val="0"/>
          <w:i w:val="0"/>
          <w:color w:val="787878"/>
          <w:sz w:val="16"/>
        </w:rPr>
        <w:t>Fonte: Elaboração própria.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2"/>
        </w:rPr>
        <w:t>7.6 Regras de funcionamento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1.  </w:t>
      </w:r>
      <w:r>
        <w:rPr>
          <w:rFonts w:ascii="Montserrat" w:hAnsi="Montserrat" w:eastAsia="Montserrat"/>
          <w:b w:val="0"/>
          <w:i w:val="0"/>
          <w:sz w:val="20"/>
        </w:rPr>
        <w:t>O disparo é verificado a cada 15 minutos; o comunicado pode sair com até cerca de 15 minutos de atraso, sempre no mesmo dia.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2.  </w:t>
      </w:r>
      <w:r>
        <w:rPr>
          <w:rFonts w:ascii="Montserrat" w:hAnsi="Montserrat" w:eastAsia="Montserrat"/>
          <w:b w:val="0"/>
          <w:i w:val="0"/>
          <w:sz w:val="20"/>
        </w:rPr>
        <w:t>Cada chamada agenda um único envio. Para uma rotina mensal, o sistema de RH deve repetir a chamada todos os meses, por exemplo no dia 25, para o mês seguinte.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3.  </w:t>
      </w:r>
      <w:r>
        <w:rPr>
          <w:rFonts w:ascii="Montserrat" w:hAnsi="Montserrat" w:eastAsia="Montserrat"/>
          <w:b w:val="0"/>
          <w:i w:val="0"/>
          <w:sz w:val="20"/>
        </w:rPr>
        <w:t>O campo de confirmação de envio deve conter exatamente “SIM”. Em automação sem aprovação humana a cada mês, o RH deve formalizar que o envio automático está autorizado.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4.  </w:t>
      </w:r>
      <w:r>
        <w:rPr>
          <w:rFonts w:ascii="Montserrat" w:hAnsi="Montserrat" w:eastAsia="Montserrat"/>
          <w:b w:val="0"/>
          <w:i w:val="0"/>
          <w:sz w:val="20"/>
        </w:rPr>
        <w:t>O agendamento pendente pode ser consultado e cancelado pelas ferramentas de listagem e de cancelamento de agendamentos.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2"/>
        </w:rPr>
        <w:t>7.7 Teste e entrada em produção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1.  </w:t>
      </w:r>
      <w:r>
        <w:rPr>
          <w:rFonts w:ascii="Montserrat" w:hAnsi="Montserrat" w:eastAsia="Montserrat"/>
          <w:b w:val="0"/>
          <w:i w:val="0"/>
          <w:sz w:val="20"/>
        </w:rPr>
        <w:t>Executar a chamada com modo_teste verdadeiro e e-mail de teste @aahbrant.com.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2.  </w:t>
      </w:r>
      <w:r>
        <w:rPr>
          <w:rFonts w:ascii="Montserrat" w:hAnsi="Montserrat" w:eastAsia="Montserrat"/>
          <w:b w:val="0"/>
          <w:i w:val="0"/>
          <w:sz w:val="20"/>
        </w:rPr>
        <w:t>Conferir a arte, o texto, a ortografia e a lista de nomes recebidos.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3.  </w:t>
      </w:r>
      <w:r>
        <w:rPr>
          <w:rFonts w:ascii="Montserrat" w:hAnsi="Montserrat" w:eastAsia="Montserrat"/>
          <w:b w:val="0"/>
          <w:i w:val="0"/>
          <w:sz w:val="20"/>
        </w:rPr>
        <w:t>Consultar a prévia de destinatários para confirmar a contagem de quem receberá.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4.  </w:t>
      </w:r>
      <w:r>
        <w:rPr>
          <w:rFonts w:ascii="Montserrat" w:hAnsi="Montserrat" w:eastAsia="Montserrat"/>
          <w:b w:val="0"/>
          <w:i w:val="0"/>
          <w:sz w:val="20"/>
        </w:rPr>
        <w:t>Obter a aprovação do RH e executar com modo_teste falso.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5.  </w:t>
      </w:r>
      <w:r>
        <w:rPr>
          <w:rFonts w:ascii="Montserrat" w:hAnsi="Montserrat" w:eastAsia="Montserrat"/>
          <w:b w:val="0"/>
          <w:i w:val="0"/>
          <w:sz w:val="20"/>
        </w:rPr>
        <w:t>Consultar a listagem de agendamentos e, após o envio, o relatório do comunicado.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4" w:color="787878"/>
              <w:left w:val="single" w:sz="4" w:color="787878"/>
              <w:bottom w:val="single" w:sz="4" w:color="787878"/>
              <w:right w:val="single" w:sz="4" w:color="787878"/>
            </w:tcBorders>
            <w:shd w:val="clear" w:color="auto" w:fill="EBE9AD"/>
          </w:tcPr>
          <w:p>
            <w:pPr>
              <w:spacing w:before="6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olor w:val="670000"/>
                <w:sz w:val="18"/>
              </w:rPr>
              <w:t xml:space="preserve">Observação: </w:t>
            </w:r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Desde 28/09/2026 o servidor aceita, por padrão, destinatários de domínio externo. Para o comunicado de aniversariantes, recomenda-se manter somente destinatários internos (@aahbrant.com).</w:t>
            </w:r>
          </w:p>
        </w:tc>
      </w:tr>
    </w:tbl>
    <w:p>
      <w:pPr>
        <w:spacing w:before="0" w:after="0" w:line="240" w:lineRule="auto"/>
        <w:jc w:val="both"/>
      </w:pP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8 REGISTROS</w:t>
      </w:r>
    </w:p>
    <w:p>
      <w:pPr>
        <w:spacing w:before="0" w:after="0" w:line="360" w:lineRule="auto"/>
        <w:ind w:firstLine="709"/>
        <w:jc w:val="both"/>
      </w:pPr>
      <w:r>
        <w:rPr>
          <w:rFonts w:ascii="Montserrat" w:hAnsi="Montserrat" w:eastAsia="Montserrat"/>
          <w:b w:val="0"/>
          <w:i w:val="0"/>
          <w:sz w:val="20"/>
        </w:rPr>
        <w:t>O servidor gera protocolo e relatório de auditoria para cada comunicado. O RH deve arquivar a aprovação do texto de cada mês e o relatório do envio.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9 INDICADORES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Comunicados de aniversariantes enviados no prazo / comunicados previstos no ano.</w:t>
      </w:r>
    </w:p>
    <w:p>
      <w:pPr>
        <w:spacing w:before="0" w:after="0" w:line="360" w:lineRule="auto"/>
        <w:ind w:left="1077" w:hanging="369"/>
        <w:jc w:val="both"/>
      </w:pPr>
      <w:r>
        <w:rPr>
          <w:rFonts w:ascii="Montserrat" w:hAnsi="Montserrat" w:eastAsia="Montserrat"/>
          <w:b w:val="0"/>
          <w:i w:val="0"/>
          <w:sz w:val="20"/>
        </w:rPr>
        <w:t xml:space="preserve">•  </w:t>
      </w:r>
      <w:r>
        <w:rPr>
          <w:rFonts w:ascii="Montserrat" w:hAnsi="Montserrat" w:eastAsia="Montserrat"/>
          <w:b w:val="0"/>
          <w:i w:val="0"/>
          <w:sz w:val="20"/>
        </w:rPr>
        <w:t>Quantidade de falhas de agendamento por trimestre.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10 PENDÊNCIAS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sz w:val="18"/>
        </w:rPr>
        <w:t>Tabela 5 – Pendências para a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Nº</w:t>
            </w:r>
          </w:p>
        </w:tc>
        <w:tc>
          <w:tcPr>
            <w:tcW w:type="dxa" w:w="6576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Pendência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color="auto" w:fill="670000"/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1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Confirmar o caminho (endpoint), o formato de chamada e o cabeçalho de autenticação do servidor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TI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2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Definir o acesso externo: domínio próprio ou exceção controlada (7.2)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TI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3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Criar a chave de API exclusiva do RH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TI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4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Definir se a recorrência mensal será feita pelo sistema de RH ou por rotina do servidor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TI e RH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5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Validar a política de divulgação de datas de aniversário (LGPD)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RH e Jurídico</w:t>
            </w:r>
          </w:p>
        </w:tc>
      </w:tr>
      <w:tr>
        <w:tc>
          <w:tcPr>
            <w:tcW w:type="dxa" w:w="794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6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Atribuir o sequencial do documento (XXX) e confirmar a área responsável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color="787878"/>
              <w:right w:val="nil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Montserrat" w:hAnsi="Montserrat" w:eastAsia="Montserrat"/>
                <w:b w:val="0"/>
                <w:i w:val="0"/>
                <w:sz w:val="18"/>
              </w:rPr>
              <w:t>SGI</w:t>
            </w:r>
          </w:p>
        </w:tc>
      </w:tr>
    </w:tbl>
    <w:p>
      <w:pPr>
        <w:spacing w:before="0" w:after="0" w:line="360" w:lineRule="auto"/>
        <w:jc w:val="left"/>
      </w:pPr>
      <w:r>
        <w:rPr>
          <w:rFonts w:ascii="Montserrat" w:hAnsi="Montserrat" w:eastAsia="Montserrat"/>
          <w:b w:val="0"/>
          <w:i w:val="0"/>
          <w:color w:val="787878"/>
          <w:sz w:val="16"/>
        </w:rPr>
        <w:t>Fonte: Elaboração própria.</w:t>
      </w:r>
    </w:p>
    <w:p>
      <w:pPr>
        <w:keepNext/>
        <w:spacing w:before="0" w:after="0" w:line="360" w:lineRule="auto"/>
        <w:jc w:val="left"/>
      </w:pPr>
      <w:r>
        <w:rPr>
          <w:rFonts w:ascii="Montserrat" w:hAnsi="Montserrat" w:eastAsia="Montserrat"/>
          <w:b/>
          <w:i w:val="0"/>
          <w:color w:val="670000"/>
          <w:sz w:val="24"/>
        </w:rPr>
        <w:t>ANEXO A – EXEMPLO DE CHAMADA DE AGENDAMENTO (MODO TESTE)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{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"assunto": "Aniversariantes de Novembro",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"assunto_sem_prefixo": true,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"titulo": "Aniversariantes de Novembro",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"mensagem_principal": "Neste mês, a AAHBRANT parabeniza os colaboradores que celebram aniversário:\n\n**[Dia/Mês] – [Nome do colaborador] – [Setor]**\n**[Dia/Mês] – [Nome do colaborador] – [Setor]**\n\nDesejamos a todos um dia de alegria e muitas conquistas.",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"data_comunicado": "01/11/2026",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"hora_comunicado": "08h00",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"setor": "RH",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"formato": "Paisagem",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"solicitante": "[Nome do responsável do RH]",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"email_solicitante": "[responsavel.rh]@aahbrant.com",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"data_hora_agendada": "2026-10-30T08:00:00-03:00",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"modo_teste": true,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"email_teste": "[email.de.teste]@aahbrant.com",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"confirmar_envio": "SIM"</w:t>
      </w:r>
    </w:p>
    <w:p>
      <w:pPr>
        <w:spacing w:before="0" w:after="0" w:line="240" w:lineRule="auto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spacing w:before="0" w:after="0" w:line="360" w:lineRule="auto"/>
        <w:jc w:val="left"/>
      </w:pPr>
      <w:r>
        <w:rPr>
          <w:rFonts w:ascii="Montserrat" w:hAnsi="Montserrat" w:eastAsia="Montserrat"/>
          <w:b w:val="0"/>
          <w:i w:val="0"/>
          <w:color w:val="787878"/>
          <w:sz w:val="16"/>
        </w:rPr>
        <w:t>Fonte: Elaboração própria, com base nos campos do servidor de comunicados. Os dados entre colchetes são marcadores a preencher.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/>
        <w:b/>
        <w:sz w:val="18"/>
      </w:rPr>
      <w:t>Propriedade da</w:t>
    </w:r>
  </w:p>
  <w:p>
    <w:pPr>
      <w:spacing w:before="0" w:after="0"/>
      <w:jc w:val="center"/>
    </w:pPr>
    <w:r>
      <w:rPr>
        <w:rFonts w:ascii="Arial" w:hAnsi="Arial"/>
        <w:b/>
        <w:sz w:val="18"/>
      </w:rPr>
      <w:t>AAHBRANT ENGENHARIA E CONSTRUÇÕES</w:t>
    </w:r>
  </w:p>
  <w:p>
    <w:pPr>
      <w:spacing w:before="0" w:after="0"/>
      <w:jc w:val="center"/>
    </w:pPr>
    <w:r>
      <w:rPr>
        <w:rFonts w:ascii="Arial" w:hAnsi="Arial"/>
        <w:b/>
        <w:sz w:val="18"/>
      </w:rPr>
      <w:t>uso exclusivamente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2154"/>
          <w:vMerge w:val="restart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152000" cy="24788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hbt-positivo-fundo-clar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478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082"/>
          <w:vMerge w:val="restart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spacing w:before="40" w:after="40"/>
            <w:jc w:val="center"/>
          </w:pPr>
          <w:r/>
          <w:r>
            <w:rPr>
              <w:rFonts w:ascii="Montserrat" w:hAnsi="Montserrat" w:eastAsia="Montserrat"/>
              <w:b/>
              <w:i w:val="0"/>
              <w:sz w:val="16"/>
            </w:rPr>
            <w:t>GUIA DE INTEGRAÇÃO DO SISTEMA DE RH AO SERVIDOR DE COMUNICADOS (ANIVERSARIANTES DO MÊS)</w:t>
          </w:r>
        </w:p>
      </w:tc>
      <w:tc>
        <w:tcPr>
          <w:tcW w:type="dxa" w:w="2835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spacing w:before="40" w:after="40"/>
            <w:jc w:val="center"/>
          </w:pPr>
          <w:r/>
          <w:r>
            <w:rPr>
              <w:rFonts w:ascii="Montserrat" w:hAnsi="Montserrat" w:eastAsia="Montserrat"/>
              <w:b/>
              <w:i w:val="0"/>
              <w:sz w:val="16"/>
            </w:rPr>
            <w:t>Código: AHBT-IT-TI-XXX-00</w:t>
          </w:r>
        </w:p>
      </w:tc>
    </w:tr>
    <w:tr>
      <w:tc>
        <w:tcPr>
          <w:tcW w:type="dxa" w:w="3024"/>
          <w:vMerge/>
        </w:tcPr>
        <w:p/>
      </w:tc>
      <w:tc>
        <w:tcPr>
          <w:tcW w:type="dxa" w:w="3024"/>
          <w:vMerge/>
        </w:tcPr>
        <w:p/>
      </w:tc>
      <w:tc>
        <w:tcPr>
          <w:tcW w:type="dxa" w:w="2835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spacing w:before="40" w:after="40"/>
            <w:jc w:val="center"/>
          </w:pPr>
          <w:r/>
          <w:r>
            <w:rPr>
              <w:rFonts w:ascii="Montserrat" w:hAnsi="Montserrat" w:eastAsia="Montserrat"/>
              <w:b w:val="0"/>
              <w:i w:val="0"/>
              <w:sz w:val="16"/>
            </w:rPr>
            <w:t>Data: 01/10/2026</w:t>
          </w:r>
        </w:p>
      </w:tc>
    </w:tr>
    <w:tr>
      <w:tc>
        <w:tcPr>
          <w:tcW w:type="dxa" w:w="3024"/>
          <w:vMerge/>
        </w:tcPr>
        <w:p/>
      </w:tc>
      <w:tc>
        <w:tcPr>
          <w:tcW w:type="dxa" w:w="4082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spacing w:before="40" w:after="40"/>
            <w:jc w:val="center"/>
          </w:pPr>
          <w:r/>
          <w:r>
            <w:rPr>
              <w:rFonts w:ascii="Montserrat" w:hAnsi="Montserrat" w:eastAsia="Montserrat"/>
              <w:b w:val="0"/>
              <w:i w:val="0"/>
              <w:sz w:val="16"/>
            </w:rPr>
            <w:t>Unidade: Matriz</w:t>
          </w:r>
        </w:p>
      </w:tc>
      <w:tc>
        <w:tcPr>
          <w:tcW w:type="dxa" w:w="2835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jc w:val="center"/>
          </w:pPr>
          <w:r/>
          <w:r>
            <w:rPr>
              <w:rFonts w:ascii="Arial" w:hAnsi="Arial"/>
              <w:sz w:val="16"/>
            </w:rPr>
            <w:t xml:space="preserve">Página </w:t>
          </w:r>
          <w:r>
            <w:rPr>
              <w:rFonts w:ascii="Arial" w:hAnsi="Arial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sz w:val="16"/>
            </w:rPr>
            <w:t xml:space="preserve"> de </w:t>
          </w:r>
          <w:r>
            <w:rPr>
              <w:rFonts w:ascii="Arial" w:hAnsi="Arial"/>
              <w:sz w:val="18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024"/>
          <w:vMerge/>
        </w:tcPr>
        <w:p/>
      </w:tc>
      <w:tc>
        <w:tcPr>
          <w:tcW w:type="dxa" w:w="4082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spacing w:before="40" w:after="40"/>
            <w:jc w:val="center"/>
          </w:pPr>
          <w:r/>
          <w:r>
            <w:rPr>
              <w:rFonts w:ascii="Montserrat" w:hAnsi="Montserrat" w:eastAsia="Montserrat"/>
              <w:b w:val="0"/>
              <w:i w:val="0"/>
              <w:sz w:val="16"/>
            </w:rPr>
            <w:t>Área responsável: TI (a confirmar)</w:t>
          </w:r>
        </w:p>
      </w:tc>
      <w:tc>
        <w:tcPr>
          <w:tcW w:type="dxa" w:w="2835"/>
          <w:tcBorders>
            <w:top w:val="single" w:sz="4" w:color="787878"/>
            <w:left w:val="single" w:sz="4" w:color="787878"/>
            <w:bottom w:val="single" w:sz="4" w:color="787878"/>
            <w:right w:val="single" w:sz="4" w:color="787878"/>
          </w:tcBorders>
        </w:tcPr>
        <w:p>
          <w:pPr>
            <w:spacing w:before="40" w:after="40"/>
            <w:jc w:val="center"/>
          </w:pPr>
          <w:r/>
          <w:r>
            <w:rPr>
              <w:rFonts w:ascii="Montserrat" w:hAnsi="Montserrat" w:eastAsia="Montserrat"/>
              <w:b w:val="0"/>
              <w:i w:val="0"/>
              <w:sz w:val="16"/>
            </w:rPr>
            <w:t>Revisão: 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