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1445" w14:textId="1A91E468" w:rsidR="00AE117C" w:rsidRDefault="00BD32E5" w:rsidP="00AE117C">
      <w:pPr>
        <w:jc w:val="center"/>
        <w:rPr>
          <w:rFonts w:ascii="Times New Roman" w:hAnsi="Times New Roman" w:cs="Times New Roman"/>
        </w:rPr>
      </w:pPr>
      <w:r>
        <w:rPr>
          <w:rFonts w:ascii="Times New Roman" w:hAnsi="Times New Roman" w:cs="Times New Roman"/>
        </w:rPr>
        <w:t>AAI-530 Group 2 Final Team Project</w:t>
      </w:r>
    </w:p>
    <w:p w14:paraId="5D719403" w14:textId="77777777" w:rsidR="00AE117C" w:rsidRDefault="00AE117C" w:rsidP="00AE117C">
      <w:pPr>
        <w:rPr>
          <w:rFonts w:ascii="Times New Roman" w:hAnsi="Times New Roman" w:cs="Times New Roman"/>
        </w:rPr>
      </w:pPr>
    </w:p>
    <w:p w14:paraId="7E8E4090" w14:textId="56C4F82C" w:rsidR="00AE117C" w:rsidRDefault="00AE117C" w:rsidP="00F56E74">
      <w:pPr>
        <w:spacing w:line="480" w:lineRule="auto"/>
        <w:rPr>
          <w:rFonts w:ascii="Times New Roman" w:hAnsi="Times New Roman" w:cs="Times New Roman"/>
        </w:rPr>
      </w:pPr>
      <w:r>
        <w:rPr>
          <w:rFonts w:ascii="Times New Roman" w:hAnsi="Times New Roman" w:cs="Times New Roman"/>
        </w:rPr>
        <w:t>Introduction</w:t>
      </w:r>
    </w:p>
    <w:p w14:paraId="47342035" w14:textId="5FBCF77F"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The Internet of Things has transformed how organizations collect and use data by connecting physical devices to the internet and enabling continuous streams of machine-generated information. As sensor costs, bandwidth availability, and cloud computing capabilities have improved, it has become increasingly feasible to deploy connected devices at scale (Minteer, 2017). However, the ability to collect large amounts of IoT data does not automatically translate into</w:t>
      </w:r>
      <w:r w:rsidR="00FF79AB">
        <w:rPr>
          <w:rFonts w:ascii="Times New Roman" w:hAnsi="Times New Roman" w:cs="Times New Roman"/>
        </w:rPr>
        <w:t xml:space="preserve"> valuable applications</w:t>
      </w:r>
      <w:r w:rsidRPr="00BD32E5">
        <w:rPr>
          <w:rFonts w:ascii="Times New Roman" w:hAnsi="Times New Roman" w:cs="Times New Roman"/>
        </w:rPr>
        <w:t xml:space="preserve">. Many organizations struggle with how to store, process, and extract meaningful insights from high-volume sensor data, particularly when it arrives continuously and from </w:t>
      </w:r>
      <w:r w:rsidR="00367A58">
        <w:rPr>
          <w:rFonts w:ascii="Times New Roman" w:hAnsi="Times New Roman" w:cs="Times New Roman"/>
        </w:rPr>
        <w:t>multiple</w:t>
      </w:r>
      <w:r w:rsidRPr="00BD32E5">
        <w:rPr>
          <w:rFonts w:ascii="Times New Roman" w:hAnsi="Times New Roman" w:cs="Times New Roman"/>
        </w:rPr>
        <w:t xml:space="preserve"> geographic locations (Minteer, 2017).</w:t>
      </w:r>
    </w:p>
    <w:p w14:paraId="35C476B5" w14:textId="77777777"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Minteer (2017) emphasizes that IoT analytics must be understood within a broader analytics maturity framework. Analytics ranges from simple reporting and drill-down queries to predictive modeling and optimization. Organizations often feel pressure to implement advanced artificial intelligence techniques, but true value comes from aligning analytics capabilities with available data, infrastructure, and return on investment. In IoT environments, this alignment can be especially challenging due to the unique characteristics of sensor data, including rapid data growth, time synchronization issues, geographic variability, and inconsistent data quality.</w:t>
      </w:r>
    </w:p>
    <w:p w14:paraId="4D0AD558" w14:textId="77777777"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 xml:space="preserve">This project applies these principles to the design of a machine learning IoT system for drone anomaly detection. The dataset used in this study is derived from </w:t>
      </w:r>
      <w:proofErr w:type="gramStart"/>
      <w:r w:rsidRPr="00BD32E5">
        <w:rPr>
          <w:rFonts w:ascii="Times New Roman" w:hAnsi="Times New Roman" w:cs="Times New Roman"/>
        </w:rPr>
        <w:t xml:space="preserve">the </w:t>
      </w:r>
      <w:proofErr w:type="spellStart"/>
      <w:r w:rsidRPr="00BD32E5">
        <w:rPr>
          <w:rFonts w:ascii="Times New Roman" w:hAnsi="Times New Roman" w:cs="Times New Roman"/>
          <w:i/>
          <w:iCs/>
        </w:rPr>
        <w:t>DronePropA</w:t>
      </w:r>
      <w:proofErr w:type="spellEnd"/>
      <w:proofErr w:type="gramEnd"/>
      <w:r w:rsidRPr="00BD32E5">
        <w:rPr>
          <w:rFonts w:ascii="Times New Roman" w:hAnsi="Times New Roman" w:cs="Times New Roman"/>
          <w:i/>
          <w:iCs/>
        </w:rPr>
        <w:t>: Motion Trajectories Dataset for Defective Drones</w:t>
      </w:r>
      <w:r w:rsidRPr="00BD32E5">
        <w:rPr>
          <w:rFonts w:ascii="Times New Roman" w:hAnsi="Times New Roman" w:cs="Times New Roman"/>
        </w:rPr>
        <w:t xml:space="preserve"> (Ismail et al., 2023). It consists of motion telemetry collected from 130 drone flight experiments, with twelve time-series features representing position, orientation, angular velocity, and acceleration. The data were segmented into </w:t>
      </w:r>
      <w:r w:rsidRPr="00BD32E5">
        <w:rPr>
          <w:rFonts w:ascii="Times New Roman" w:hAnsi="Times New Roman" w:cs="Times New Roman"/>
        </w:rPr>
        <w:lastRenderedPageBreak/>
        <w:t xml:space="preserve">overlapping windows of </w:t>
      </w:r>
      <w:proofErr w:type="gramStart"/>
      <w:r w:rsidRPr="00BD32E5">
        <w:rPr>
          <w:rFonts w:ascii="Times New Roman" w:hAnsi="Times New Roman" w:cs="Times New Roman"/>
        </w:rPr>
        <w:t>200 time</w:t>
      </w:r>
      <w:proofErr w:type="gramEnd"/>
      <w:r w:rsidRPr="00BD32E5">
        <w:rPr>
          <w:rFonts w:ascii="Times New Roman" w:hAnsi="Times New Roman" w:cs="Times New Roman"/>
        </w:rPr>
        <w:t xml:space="preserve"> steps and labeled as either healthy or faulty, creating a structured dataset appropriate for sequence-based deep learning classification.</w:t>
      </w:r>
    </w:p>
    <w:p w14:paraId="33A777C5" w14:textId="77777777"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Drone telemetry data reflects many of the challenges described by Minteer (2017). First, IoT systems can generate substantial data volumes very quickly, especially when devices continuously transmit time-series measurements. Although the dataset used here has been preprocessed and windowed, the original motion data illustrates how high-frequency sensor reporting can create significant storage and computational demands. Second, time plays a critical role in IoT analytics. Accurate time stamping and synchronization are essential for meaningful analysis, particularly in time-series modeling where sequence order directly affects predictive performance. Third, IoT devices operate in varied physical environments, meaning that spatial context, environmental conditions, and hardware constraints can influence sensor readings and model outcomes. Finally, IoT data is often subject to missing values, transmission loss, and firmware inconsistencies, which require careful preprocessing before machine learning models can be trained effectively.</w:t>
      </w:r>
    </w:p>
    <w:p w14:paraId="3AAAA280" w14:textId="77777777"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 xml:space="preserve">The primary objective of this project is twofold. First, </w:t>
      </w:r>
      <w:proofErr w:type="gramStart"/>
      <w:r w:rsidRPr="00BD32E5">
        <w:rPr>
          <w:rFonts w:ascii="Times New Roman" w:hAnsi="Times New Roman" w:cs="Times New Roman"/>
        </w:rPr>
        <w:t>a complete</w:t>
      </w:r>
      <w:proofErr w:type="gramEnd"/>
      <w:r w:rsidRPr="00BD32E5">
        <w:rPr>
          <w:rFonts w:ascii="Times New Roman" w:hAnsi="Times New Roman" w:cs="Times New Roman"/>
        </w:rPr>
        <w:t xml:space="preserve"> theoretical IoT system architecture is designed to support drone health monitoring. This includes defining the onboard sensors, edge computing considerations, networking protocols, cloud-based storage infrastructure, and scalable machine learning pipelines. The system design accounts for constraints common in IoT environments, such as limited onboard computing power, bandwidth limitations, and the need for efficient data aggregation.</w:t>
      </w:r>
    </w:p>
    <w:p w14:paraId="3F28CB7C" w14:textId="77777777"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 xml:space="preserve">Second, two distinct machine learning tasks are implemented. The first task involves building and training a deep learning time-series classification model from scratch using TensorFlow to detect anomalous drone behavior. The second task focuses on time-series </w:t>
      </w:r>
      <w:r w:rsidRPr="00BD32E5">
        <w:rPr>
          <w:rFonts w:ascii="Times New Roman" w:hAnsi="Times New Roman" w:cs="Times New Roman"/>
        </w:rPr>
        <w:lastRenderedPageBreak/>
        <w:t>prediction to forecast future motion behavior, demonstrating how predictive analytics can support proactive maintenance and operational safety. These tasks reflect higher levels of analytics maturity, moving beyond descriptive reporting toward predictive modeling as described by Minteer (2017).</w:t>
      </w:r>
    </w:p>
    <w:p w14:paraId="1B133CB9" w14:textId="77777777" w:rsidR="00BD32E5" w:rsidRPr="00BD32E5" w:rsidRDefault="00BD32E5" w:rsidP="00F56E74">
      <w:pPr>
        <w:spacing w:line="480" w:lineRule="auto"/>
        <w:ind w:firstLine="720"/>
        <w:rPr>
          <w:rFonts w:ascii="Times New Roman" w:hAnsi="Times New Roman" w:cs="Times New Roman"/>
        </w:rPr>
      </w:pPr>
      <w:r w:rsidRPr="00BD32E5">
        <w:rPr>
          <w:rFonts w:ascii="Times New Roman" w:hAnsi="Times New Roman" w:cs="Times New Roman"/>
        </w:rPr>
        <w:t>The insights generated from these models are presented through a Tableau Public dashboard that includes status indicators, historical summaries, and visualizations of predictive outputs. By integrating IoT system design, deep learning, time-series forecasting, and visualization best practices, this project demonstrates how raw sensor telemetry can be transformed into actionable intelligence. In doing so, it addresses not only the technical implementation of machine learning models but also the broader challenges of extracting value from IoT data.</w:t>
      </w:r>
    </w:p>
    <w:p w14:paraId="59DCAED6" w14:textId="77777777" w:rsidR="00AE117C" w:rsidRDefault="00AE117C"/>
    <w:p w14:paraId="748C6638" w14:textId="27B05152" w:rsidR="00AE117C" w:rsidRDefault="00AE117C">
      <w:r>
        <w:t>References:</w:t>
      </w:r>
    </w:p>
    <w:p w14:paraId="6C36BC32" w14:textId="022C3225" w:rsidR="00F51FFA" w:rsidRDefault="00AE117C">
      <w:r w:rsidRPr="00AE117C">
        <w:t xml:space="preserve">Ismail, M., </w:t>
      </w:r>
      <w:proofErr w:type="spellStart"/>
      <w:r w:rsidRPr="00AE117C">
        <w:t>Elshaar</w:t>
      </w:r>
      <w:proofErr w:type="spellEnd"/>
      <w:r w:rsidRPr="00AE117C">
        <w:t xml:space="preserve">, A., et al. (2023). </w:t>
      </w:r>
      <w:proofErr w:type="spellStart"/>
      <w:r w:rsidRPr="00AE117C">
        <w:rPr>
          <w:i/>
          <w:iCs/>
        </w:rPr>
        <w:t>DronePropA</w:t>
      </w:r>
      <w:proofErr w:type="spellEnd"/>
      <w:r w:rsidRPr="00AE117C">
        <w:rPr>
          <w:i/>
          <w:iCs/>
        </w:rPr>
        <w:t>: Motion trajectories dataset for defective drones</w:t>
      </w:r>
      <w:r w:rsidRPr="00AE117C">
        <w:t xml:space="preserve">. </w:t>
      </w:r>
    </w:p>
    <w:p w14:paraId="60775C72" w14:textId="7283F20D" w:rsidR="00942F67" w:rsidRDefault="00942F67">
      <w:r w:rsidRPr="00942F67">
        <w:t>Minteer, A. (2017). </w:t>
      </w:r>
      <w:r w:rsidRPr="00942F67">
        <w:rPr>
          <w:i/>
          <w:iCs/>
        </w:rPr>
        <w:t xml:space="preserve">Analytics for the Internet of </w:t>
      </w:r>
      <w:proofErr w:type="gramStart"/>
      <w:r w:rsidRPr="00942F67">
        <w:rPr>
          <w:i/>
          <w:iCs/>
        </w:rPr>
        <w:t>things</w:t>
      </w:r>
      <w:proofErr w:type="gramEnd"/>
      <w:r w:rsidRPr="00942F67">
        <w:rPr>
          <w:i/>
          <w:iCs/>
        </w:rPr>
        <w:t xml:space="preserve"> (IoT)</w:t>
      </w:r>
      <w:r w:rsidRPr="00942F67">
        <w:t xml:space="preserve">. </w:t>
      </w:r>
      <w:proofErr w:type="spellStart"/>
      <w:r w:rsidRPr="00942F67">
        <w:t>Packt</w:t>
      </w:r>
      <w:proofErr w:type="spellEnd"/>
      <w:r w:rsidRPr="00942F67">
        <w:t xml:space="preserve"> Publishing. </w:t>
      </w:r>
      <w:hyperlink r:id="rId4" w:history="1">
        <w:r w:rsidRPr="00942F67">
          <w:rPr>
            <w:rStyle w:val="Hyperlink"/>
          </w:rPr>
          <w:t>https://ebookcentral.proquest.com/lib/sandiego/reader.action?docID=4925644&amp;ppg=2&amp;c=UERG</w:t>
        </w:r>
      </w:hyperlink>
    </w:p>
    <w:sectPr w:rsidR="00942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17C"/>
    <w:rsid w:val="001737AE"/>
    <w:rsid w:val="001876FE"/>
    <w:rsid w:val="00367A58"/>
    <w:rsid w:val="003E6C7D"/>
    <w:rsid w:val="004B4CE1"/>
    <w:rsid w:val="0077722B"/>
    <w:rsid w:val="00942F67"/>
    <w:rsid w:val="00AE117C"/>
    <w:rsid w:val="00BD32E5"/>
    <w:rsid w:val="00F51FFA"/>
    <w:rsid w:val="00F56E74"/>
    <w:rsid w:val="00FF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D1FC"/>
  <w15:chartTrackingRefBased/>
  <w15:docId w15:val="{0D8BF49E-147C-4B8C-B2F2-B7477960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7C"/>
    <w:rPr>
      <w:rFonts w:eastAsiaTheme="majorEastAsia" w:cstheme="majorBidi"/>
      <w:color w:val="272727" w:themeColor="text1" w:themeTint="D8"/>
    </w:rPr>
  </w:style>
  <w:style w:type="paragraph" w:styleId="Title">
    <w:name w:val="Title"/>
    <w:basedOn w:val="Normal"/>
    <w:next w:val="Normal"/>
    <w:link w:val="TitleChar"/>
    <w:uiPriority w:val="10"/>
    <w:qFormat/>
    <w:rsid w:val="00AE1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17C"/>
    <w:pPr>
      <w:spacing w:before="160"/>
      <w:jc w:val="center"/>
    </w:pPr>
    <w:rPr>
      <w:i/>
      <w:iCs/>
      <w:color w:val="404040" w:themeColor="text1" w:themeTint="BF"/>
    </w:rPr>
  </w:style>
  <w:style w:type="character" w:customStyle="1" w:styleId="QuoteChar">
    <w:name w:val="Quote Char"/>
    <w:basedOn w:val="DefaultParagraphFont"/>
    <w:link w:val="Quote"/>
    <w:uiPriority w:val="29"/>
    <w:rsid w:val="00AE117C"/>
    <w:rPr>
      <w:i/>
      <w:iCs/>
      <w:color w:val="404040" w:themeColor="text1" w:themeTint="BF"/>
    </w:rPr>
  </w:style>
  <w:style w:type="paragraph" w:styleId="ListParagraph">
    <w:name w:val="List Paragraph"/>
    <w:basedOn w:val="Normal"/>
    <w:uiPriority w:val="34"/>
    <w:qFormat/>
    <w:rsid w:val="00AE117C"/>
    <w:pPr>
      <w:ind w:left="720"/>
      <w:contextualSpacing/>
    </w:pPr>
  </w:style>
  <w:style w:type="character" w:styleId="IntenseEmphasis">
    <w:name w:val="Intense Emphasis"/>
    <w:basedOn w:val="DefaultParagraphFont"/>
    <w:uiPriority w:val="21"/>
    <w:qFormat/>
    <w:rsid w:val="00AE117C"/>
    <w:rPr>
      <w:i/>
      <w:iCs/>
      <w:color w:val="0F4761" w:themeColor="accent1" w:themeShade="BF"/>
    </w:rPr>
  </w:style>
  <w:style w:type="paragraph" w:styleId="IntenseQuote">
    <w:name w:val="Intense Quote"/>
    <w:basedOn w:val="Normal"/>
    <w:next w:val="Normal"/>
    <w:link w:val="IntenseQuoteChar"/>
    <w:uiPriority w:val="30"/>
    <w:qFormat/>
    <w:rsid w:val="00AE1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17C"/>
    <w:rPr>
      <w:i/>
      <w:iCs/>
      <w:color w:val="0F4761" w:themeColor="accent1" w:themeShade="BF"/>
    </w:rPr>
  </w:style>
  <w:style w:type="character" w:styleId="IntenseReference">
    <w:name w:val="Intense Reference"/>
    <w:basedOn w:val="DefaultParagraphFont"/>
    <w:uiPriority w:val="32"/>
    <w:qFormat/>
    <w:rsid w:val="00AE117C"/>
    <w:rPr>
      <w:b/>
      <w:bCs/>
      <w:smallCaps/>
      <w:color w:val="0F4761" w:themeColor="accent1" w:themeShade="BF"/>
      <w:spacing w:val="5"/>
    </w:rPr>
  </w:style>
  <w:style w:type="character" w:styleId="Hyperlink">
    <w:name w:val="Hyperlink"/>
    <w:basedOn w:val="DefaultParagraphFont"/>
    <w:uiPriority w:val="99"/>
    <w:unhideWhenUsed/>
    <w:rsid w:val="00942F67"/>
    <w:rPr>
      <w:color w:val="467886" w:themeColor="hyperlink"/>
      <w:u w:val="single"/>
    </w:rPr>
  </w:style>
  <w:style w:type="character" w:styleId="UnresolvedMention">
    <w:name w:val="Unresolved Mention"/>
    <w:basedOn w:val="DefaultParagraphFont"/>
    <w:uiPriority w:val="99"/>
    <w:semiHidden/>
    <w:unhideWhenUsed/>
    <w:rsid w:val="00942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bookcentral.proquest.com/lib/sandiego/reader.action?docID=4925644&amp;ppg=2&amp;c=UE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646</Words>
  <Characters>4445</Characters>
  <Application>Microsoft Office Word</Application>
  <DocSecurity>0</DocSecurity>
  <Lines>57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Fennimore</dc:creator>
  <cp:keywords/>
  <dc:description/>
  <cp:lastModifiedBy>Andrew Fennimore</cp:lastModifiedBy>
  <cp:revision>6</cp:revision>
  <dcterms:created xsi:type="dcterms:W3CDTF">2026-02-16T16:05:00Z</dcterms:created>
  <dcterms:modified xsi:type="dcterms:W3CDTF">2026-02-16T18:22:00Z</dcterms:modified>
</cp:coreProperties>
</file>