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069C" w14:textId="77777777" w:rsidR="00EB6F44" w:rsidRDefault="00000000">
      <w:pPr>
        <w:spacing w:after="40"/>
      </w:pPr>
      <w:r>
        <w:rPr>
          <w:rFonts w:ascii="Calibri" w:hAnsi="Calibri"/>
          <w:b/>
          <w:color w:val="1A365D"/>
          <w:sz w:val="52"/>
        </w:rPr>
        <w:t>RETAIL STORE DNA</w:t>
      </w:r>
    </w:p>
    <w:p w14:paraId="61C55986" w14:textId="77777777" w:rsidR="00EB6F44" w:rsidRDefault="00000000" w:rsidP="00F80B99">
      <w:pPr>
        <w:spacing w:after="40"/>
      </w:pPr>
      <w:r>
        <w:rPr>
          <w:rFonts w:ascii="Calibri" w:hAnsi="Calibri"/>
          <w:color w:val="0E7C86"/>
          <w:sz w:val="32"/>
        </w:rPr>
        <w:t>Solution Evaluation Report</w:t>
      </w:r>
    </w:p>
    <w:p w14:paraId="6B085520" w14:textId="77777777" w:rsidR="00EB6F44" w:rsidRDefault="00000000">
      <w:pPr>
        <w:pStyle w:val="Heading1"/>
      </w:pPr>
      <w:r>
        <w:rPr>
          <w:rFonts w:ascii="Calibri" w:hAnsi="Calibri"/>
          <w:color w:val="1A365D"/>
        </w:rPr>
        <w:t>1. Problem Statement</w:t>
      </w:r>
    </w:p>
    <w:tbl>
      <w:tblPr>
        <w:tblW w:w="0" w:type="auto"/>
        <w:tblLook w:val="04A0" w:firstRow="1" w:lastRow="0" w:firstColumn="1" w:lastColumn="0" w:noHBand="0" w:noVBand="1"/>
      </w:tblPr>
      <w:tblGrid>
        <w:gridCol w:w="9360"/>
      </w:tblGrid>
      <w:tr w:rsidR="00EB6F44" w14:paraId="044A0EE3" w14:textId="77777777">
        <w:tc>
          <w:tcPr>
            <w:tcW w:w="9360" w:type="dxa"/>
            <w:shd w:val="clear" w:color="auto" w:fill="E8F4F6"/>
          </w:tcPr>
          <w:p w14:paraId="39B69899" w14:textId="77777777" w:rsidR="00EB6F44" w:rsidRDefault="00000000">
            <w:pPr>
              <w:spacing w:after="80"/>
            </w:pPr>
            <w:r>
              <w:rPr>
                <w:rFonts w:ascii="Calibri" w:hAnsi="Calibri"/>
                <w:b/>
                <w:color w:val="0E7C86"/>
                <w:sz w:val="18"/>
              </w:rPr>
              <w:t>CORE CHALLENGE</w:t>
            </w:r>
          </w:p>
          <w:p w14:paraId="2D08F5AF" w14:textId="77777777" w:rsidR="00F80B99" w:rsidRPr="00F80B99" w:rsidRDefault="00F80B99" w:rsidP="00F80B99">
            <w:pPr>
              <w:spacing w:after="0"/>
              <w:rPr>
                <w:rFonts w:ascii="Calibri" w:hAnsi="Calibri"/>
                <w:color w:val="475569"/>
                <w:sz w:val="21"/>
                <w:lang w:val="en-IN"/>
              </w:rPr>
            </w:pPr>
            <w:r w:rsidRPr="00F80B99">
              <w:rPr>
                <w:rFonts w:ascii="Calibri" w:hAnsi="Calibri"/>
                <w:color w:val="475569"/>
                <w:sz w:val="21"/>
                <w:lang w:val="en-IN"/>
              </w:rPr>
              <w:t>Retail - Store DNA - using all store level data (external, internal) structured and unstructured, using AI/DL to build store level vector embeddings as the store DNA or fingerprint. Idea is to then leverage these vectors to arrive at business relevant recommendations (As business won’t understand embeddings). Embeddings are foundations but powers strong insights and recommendations. Things like store cluster, or peer store identification using embeddings to identify areas of improvements or revenue growth etc</w:t>
            </w:r>
          </w:p>
          <w:p w14:paraId="4BC5F4B8" w14:textId="77777777" w:rsidR="00EB6F44" w:rsidRDefault="00EB6F44">
            <w:pPr>
              <w:spacing w:after="0"/>
            </w:pPr>
          </w:p>
        </w:tc>
      </w:tr>
    </w:tbl>
    <w:p w14:paraId="2829DE5A" w14:textId="77777777" w:rsidR="00EB6F44" w:rsidRDefault="00EB6F44"/>
    <w:p w14:paraId="6943EBE6" w14:textId="3169FAAC" w:rsidR="00EB6F44" w:rsidRDefault="00000000">
      <w:pPr>
        <w:pStyle w:val="Heading2"/>
      </w:pPr>
      <w:r>
        <w:rPr>
          <w:rFonts w:ascii="Calibri" w:hAnsi="Calibri"/>
          <w:color w:val="0E7C86"/>
        </w:rPr>
        <w:t xml:space="preserve">What </w:t>
      </w:r>
      <w:r w:rsidR="00156CCC">
        <w:rPr>
          <w:rFonts w:ascii="Calibri" w:hAnsi="Calibri"/>
          <w:color w:val="0E7C86"/>
        </w:rPr>
        <w:t>Store DNA</w:t>
      </w:r>
      <w:r>
        <w:rPr>
          <w:rFonts w:ascii="Calibri" w:hAnsi="Calibri"/>
          <w:color w:val="0E7C86"/>
        </w:rPr>
        <w:t xml:space="preserve"> sets out to do</w:t>
      </w:r>
    </w:p>
    <w:tbl>
      <w:tblPr>
        <w:tblStyle w:val="TableGrid"/>
        <w:tblW w:w="0" w:type="auto"/>
        <w:tblLook w:val="04A0" w:firstRow="1" w:lastRow="0" w:firstColumn="1" w:lastColumn="0" w:noHBand="0" w:noVBand="1"/>
      </w:tblPr>
      <w:tblGrid>
        <w:gridCol w:w="4675"/>
        <w:gridCol w:w="4675"/>
      </w:tblGrid>
      <w:tr w:rsidR="00EB6F44" w14:paraId="3689A556" w14:textId="77777777">
        <w:tc>
          <w:tcPr>
            <w:tcW w:w="4680" w:type="dxa"/>
            <w:shd w:val="clear" w:color="auto" w:fill="F8FAFC"/>
          </w:tcPr>
          <w:p w14:paraId="6DBDC226" w14:textId="77777777" w:rsidR="00EB6F44" w:rsidRDefault="00000000">
            <w:r>
              <w:rPr>
                <w:rFonts w:ascii="Calibri" w:hAnsi="Calibri"/>
                <w:b/>
                <w:color w:val="1A365D"/>
                <w:sz w:val="20"/>
              </w:rPr>
              <w:t>Dimension</w:t>
            </w:r>
          </w:p>
        </w:tc>
        <w:tc>
          <w:tcPr>
            <w:tcW w:w="4680" w:type="dxa"/>
            <w:shd w:val="clear" w:color="auto" w:fill="F8FAFC"/>
          </w:tcPr>
          <w:p w14:paraId="23CE25B7" w14:textId="77777777" w:rsidR="00EB6F44" w:rsidRDefault="00000000">
            <w:r>
              <w:rPr>
                <w:rFonts w:ascii="Calibri" w:hAnsi="Calibri"/>
                <w:b/>
                <w:color w:val="1A365D"/>
                <w:sz w:val="20"/>
              </w:rPr>
              <w:t>Intent</w:t>
            </w:r>
          </w:p>
        </w:tc>
      </w:tr>
      <w:tr w:rsidR="00EB6F44" w14:paraId="5720AF89" w14:textId="77777777">
        <w:tc>
          <w:tcPr>
            <w:tcW w:w="4680" w:type="dxa"/>
          </w:tcPr>
          <w:p w14:paraId="5998B57F" w14:textId="77777777" w:rsidR="00EB6F44" w:rsidRDefault="00000000">
            <w:r>
              <w:rPr>
                <w:rFonts w:ascii="Calibri" w:hAnsi="Calibri"/>
                <w:b/>
                <w:color w:val="1A365D"/>
                <w:sz w:val="20"/>
              </w:rPr>
              <w:t>Input</w:t>
            </w:r>
          </w:p>
        </w:tc>
        <w:tc>
          <w:tcPr>
            <w:tcW w:w="4680" w:type="dxa"/>
          </w:tcPr>
          <w:p w14:paraId="5277C07F" w14:textId="77777777" w:rsidR="00EB6F44" w:rsidRDefault="00000000">
            <w:r>
              <w:rPr>
                <w:rFonts w:ascii="Calibri" w:hAnsi="Calibri"/>
                <w:color w:val="475569"/>
                <w:sz w:val="20"/>
              </w:rPr>
              <w:t>All store-level data — internal and external, structured and unstructured.</w:t>
            </w:r>
          </w:p>
        </w:tc>
      </w:tr>
      <w:tr w:rsidR="00EB6F44" w14:paraId="165E6A30" w14:textId="77777777">
        <w:tc>
          <w:tcPr>
            <w:tcW w:w="4680" w:type="dxa"/>
          </w:tcPr>
          <w:p w14:paraId="1BFB0E16" w14:textId="77777777" w:rsidR="00EB6F44" w:rsidRDefault="00000000">
            <w:r>
              <w:rPr>
                <w:rFonts w:ascii="Calibri" w:hAnsi="Calibri"/>
                <w:b/>
                <w:color w:val="1A365D"/>
                <w:sz w:val="20"/>
              </w:rPr>
              <w:t>AI foundation</w:t>
            </w:r>
          </w:p>
        </w:tc>
        <w:tc>
          <w:tcPr>
            <w:tcW w:w="4680" w:type="dxa"/>
          </w:tcPr>
          <w:p w14:paraId="09582A60" w14:textId="77777777" w:rsidR="00EB6F44" w:rsidRDefault="00000000">
            <w:r>
              <w:rPr>
                <w:rFonts w:ascii="Calibri" w:hAnsi="Calibri"/>
                <w:color w:val="475569"/>
                <w:sz w:val="20"/>
              </w:rPr>
              <w:t>Build a store-level vector embedding that acts as the store's DNA or fingerprint.</w:t>
            </w:r>
          </w:p>
        </w:tc>
      </w:tr>
      <w:tr w:rsidR="00EB6F44" w14:paraId="162BD59F" w14:textId="77777777">
        <w:tc>
          <w:tcPr>
            <w:tcW w:w="4680" w:type="dxa"/>
          </w:tcPr>
          <w:p w14:paraId="3F1C6797" w14:textId="77777777" w:rsidR="00EB6F44" w:rsidRDefault="00000000">
            <w:r>
              <w:rPr>
                <w:rFonts w:ascii="Calibri" w:hAnsi="Calibri"/>
                <w:b/>
                <w:color w:val="1A365D"/>
                <w:sz w:val="20"/>
              </w:rPr>
              <w:t>Business bridge</w:t>
            </w:r>
          </w:p>
        </w:tc>
        <w:tc>
          <w:tcPr>
            <w:tcW w:w="4680" w:type="dxa"/>
          </w:tcPr>
          <w:p w14:paraId="3FBECF84" w14:textId="77777777" w:rsidR="00EB6F44" w:rsidRDefault="00000000">
            <w:r>
              <w:rPr>
                <w:rFonts w:ascii="Calibri" w:hAnsi="Calibri"/>
                <w:color w:val="475569"/>
                <w:sz w:val="20"/>
              </w:rPr>
              <w:t>Convert technical embeddings into recommendations executives and store teams can use.</w:t>
            </w:r>
          </w:p>
        </w:tc>
      </w:tr>
      <w:tr w:rsidR="00EB6F44" w14:paraId="0EDF6DCC" w14:textId="77777777">
        <w:tc>
          <w:tcPr>
            <w:tcW w:w="4680" w:type="dxa"/>
          </w:tcPr>
          <w:p w14:paraId="2AAEDFFF" w14:textId="77777777" w:rsidR="00EB6F44" w:rsidRDefault="00000000">
            <w:r>
              <w:rPr>
                <w:rFonts w:ascii="Calibri" w:hAnsi="Calibri"/>
                <w:b/>
                <w:color w:val="1A365D"/>
                <w:sz w:val="20"/>
              </w:rPr>
              <w:t>Target outcomes</w:t>
            </w:r>
          </w:p>
        </w:tc>
        <w:tc>
          <w:tcPr>
            <w:tcW w:w="4680" w:type="dxa"/>
          </w:tcPr>
          <w:p w14:paraId="11D40C10" w14:textId="77777777" w:rsidR="00EB6F44" w:rsidRDefault="00000000">
            <w:r>
              <w:rPr>
                <w:rFonts w:ascii="Calibri" w:hAnsi="Calibri"/>
                <w:color w:val="475569"/>
                <w:sz w:val="20"/>
              </w:rPr>
              <w:t>Store clustering, peer identification, improvement areas, and revenue growth opportunities.</w:t>
            </w:r>
          </w:p>
        </w:tc>
      </w:tr>
    </w:tbl>
    <w:p w14:paraId="2C83F67D" w14:textId="77777777" w:rsidR="00EB6F44" w:rsidRDefault="00EB6F44"/>
    <w:p w14:paraId="5D93E8E8" w14:textId="77777777" w:rsidR="00EB6F44" w:rsidRPr="00F80B99" w:rsidRDefault="00F80B99">
      <w:pPr>
        <w:spacing w:after="280"/>
        <w:rPr>
          <w:rFonts w:ascii="Calibri" w:eastAsiaTheme="majorEastAsia" w:hAnsi="Calibri" w:cstheme="majorBidi"/>
          <w:b/>
          <w:bCs/>
          <w:i/>
          <w:iCs/>
          <w:color w:val="1A365D"/>
          <w:sz w:val="20"/>
          <w:szCs w:val="20"/>
        </w:rPr>
      </w:pPr>
      <w:r w:rsidRPr="00F80B99">
        <w:rPr>
          <w:rFonts w:ascii="Calibri" w:eastAsiaTheme="majorEastAsia" w:hAnsi="Calibri" w:cstheme="majorBidi"/>
          <w:b/>
          <w:bCs/>
          <w:i/>
          <w:iCs/>
          <w:color w:val="1A365D"/>
          <w:sz w:val="20"/>
          <w:szCs w:val="20"/>
        </w:rPr>
        <w:t>Note - Embeddings are the engine — not the deliverable. The real product is insight: knowing which stores resemble one another, where gaps exist, and what to change.</w:t>
      </w:r>
    </w:p>
    <w:p w14:paraId="0E5B01C6" w14:textId="77777777" w:rsidR="00EB6F44" w:rsidRPr="00156CCC" w:rsidRDefault="00000000" w:rsidP="00F80B99">
      <w:pPr>
        <w:pStyle w:val="Heading1"/>
        <w:rPr>
          <w:color w:val="00B050"/>
          <w:sz w:val="40"/>
          <w:szCs w:val="40"/>
        </w:rPr>
      </w:pPr>
      <w:r w:rsidRPr="00156CCC">
        <w:rPr>
          <w:color w:val="00B050"/>
          <w:sz w:val="40"/>
          <w:szCs w:val="40"/>
        </w:rPr>
        <w:t>2. Evaluation Focus 1 — Business Need</w:t>
      </w:r>
    </w:p>
    <w:tbl>
      <w:tblPr>
        <w:tblStyle w:val="TableGrid"/>
        <w:tblW w:w="0" w:type="auto"/>
        <w:tblLook w:val="04A0" w:firstRow="1" w:lastRow="0" w:firstColumn="1" w:lastColumn="0" w:noHBand="0" w:noVBand="1"/>
      </w:tblPr>
      <w:tblGrid>
        <w:gridCol w:w="4675"/>
        <w:gridCol w:w="4675"/>
      </w:tblGrid>
      <w:tr w:rsidR="00EB6F44" w14:paraId="02488D08" w14:textId="77777777">
        <w:tc>
          <w:tcPr>
            <w:tcW w:w="4680" w:type="dxa"/>
            <w:shd w:val="clear" w:color="auto" w:fill="1A365D"/>
          </w:tcPr>
          <w:p w14:paraId="545FB536" w14:textId="77777777" w:rsidR="00EB6F44" w:rsidRDefault="00000000">
            <w:r>
              <w:rPr>
                <w:rFonts w:ascii="Calibri" w:hAnsi="Calibri"/>
                <w:b/>
                <w:color w:val="FFFFFF"/>
                <w:sz w:val="20"/>
              </w:rPr>
              <w:t>Question under review</w:t>
            </w:r>
          </w:p>
        </w:tc>
        <w:tc>
          <w:tcPr>
            <w:tcW w:w="4680" w:type="dxa"/>
            <w:shd w:val="clear" w:color="auto" w:fill="1A365D"/>
          </w:tcPr>
          <w:p w14:paraId="76B7BFDE" w14:textId="77777777" w:rsidR="00EB6F44" w:rsidRDefault="00000000">
            <w:r>
              <w:rPr>
                <w:rFonts w:ascii="Calibri" w:hAnsi="Calibri"/>
                <w:b/>
                <w:color w:val="FFFFFF"/>
                <w:sz w:val="20"/>
              </w:rPr>
              <w:t>Assessment</w:t>
            </w:r>
          </w:p>
        </w:tc>
      </w:tr>
      <w:tr w:rsidR="00EB6F44" w14:paraId="533FA813" w14:textId="77777777">
        <w:tc>
          <w:tcPr>
            <w:tcW w:w="4680" w:type="dxa"/>
          </w:tcPr>
          <w:p w14:paraId="3457163E" w14:textId="77777777" w:rsidR="00F80B99" w:rsidRPr="00F80B99" w:rsidRDefault="00F80B99" w:rsidP="00F80B99">
            <w:pPr>
              <w:rPr>
                <w:rFonts w:ascii="Calibri" w:hAnsi="Calibri"/>
                <w:color w:val="475569"/>
                <w:sz w:val="20"/>
                <w:lang w:val="en-IN"/>
              </w:rPr>
            </w:pPr>
            <w:r w:rsidRPr="00F80B99">
              <w:rPr>
                <w:rFonts w:ascii="Calibri" w:hAnsi="Calibri"/>
                <w:color w:val="475569"/>
                <w:sz w:val="20"/>
                <w:lang w:val="en-IN"/>
              </w:rPr>
              <w:t>The business need of the solution – does this actually help solve a problem across clients and the industry</w:t>
            </w:r>
          </w:p>
          <w:p w14:paraId="0BFD140F" w14:textId="77777777" w:rsidR="00EB6F44" w:rsidRDefault="00EB6F44"/>
        </w:tc>
        <w:tc>
          <w:tcPr>
            <w:tcW w:w="4680" w:type="dxa"/>
          </w:tcPr>
          <w:p w14:paraId="06F72B2A" w14:textId="77777777" w:rsidR="00EB6F44" w:rsidRDefault="00000000">
            <w:r>
              <w:rPr>
                <w:rFonts w:ascii="Calibri" w:hAnsi="Calibri"/>
                <w:b/>
                <w:color w:val="0E7C86"/>
              </w:rPr>
              <w:t>Yes — with strong cross-client and industry relevance.</w:t>
            </w:r>
          </w:p>
        </w:tc>
      </w:tr>
    </w:tbl>
    <w:p w14:paraId="4C1FB51F" w14:textId="77777777" w:rsidR="00EB6F44" w:rsidRDefault="00EB6F44"/>
    <w:p w14:paraId="77744664" w14:textId="77777777" w:rsidR="00EB6F44" w:rsidRDefault="00000000">
      <w:pPr>
        <w:pStyle w:val="Heading1"/>
      </w:pPr>
      <w:r>
        <w:rPr>
          <w:rFonts w:ascii="Calibri" w:hAnsi="Calibri"/>
          <w:color w:val="1A365D"/>
        </w:rPr>
        <w:t>3. Business Need Assessment</w:t>
      </w:r>
    </w:p>
    <w:p w14:paraId="42BD6C41" w14:textId="77777777" w:rsidR="00EB6F44" w:rsidRDefault="00000000">
      <w:pPr>
        <w:spacing w:after="120"/>
      </w:pPr>
      <w:r>
        <w:rPr>
          <w:rFonts w:ascii="Calibri" w:hAnsi="Calibri"/>
          <w:color w:val="475569"/>
        </w:rPr>
        <w:t>Multi-store retailers operate thousands of locations that differ in customer base, competitive pressure, operations, and local context. Yet most organizations still evaluate stores through disconnected lenses.</w:t>
      </w:r>
    </w:p>
    <w:p w14:paraId="77EED240" w14:textId="77777777" w:rsidR="00EB6F44" w:rsidRDefault="00000000">
      <w:pPr>
        <w:spacing w:before="80"/>
        <w:jc w:val="center"/>
      </w:pPr>
      <w:r>
        <w:rPr>
          <w:rFonts w:ascii="Calibri" w:hAnsi="Calibri"/>
          <w:b/>
          <w:i/>
          <w:color w:val="1A365D"/>
          <w:sz w:val="24"/>
        </w:rPr>
        <w:t>"Which stores are truly alike — and what should this store do differently?"</w:t>
      </w:r>
    </w:p>
    <w:p w14:paraId="2004DCE2" w14:textId="77777777" w:rsidR="00F80B99" w:rsidRDefault="00F80B99">
      <w:pPr>
        <w:pStyle w:val="Heading2"/>
        <w:rPr>
          <w:rFonts w:ascii="Calibri" w:hAnsi="Calibri"/>
          <w:color w:val="0E7C86"/>
        </w:rPr>
      </w:pPr>
    </w:p>
    <w:p w14:paraId="759A98D9" w14:textId="77777777" w:rsidR="00EB6F44" w:rsidRDefault="00000000">
      <w:pPr>
        <w:pStyle w:val="Heading2"/>
      </w:pPr>
      <w:r>
        <w:rPr>
          <w:rFonts w:ascii="Calibri" w:hAnsi="Calibri"/>
          <w:color w:val="0E7C86"/>
        </w:rPr>
        <w:t>What leaders need but rarely get</w:t>
      </w:r>
    </w:p>
    <w:tbl>
      <w:tblPr>
        <w:tblStyle w:val="TableGrid"/>
        <w:tblW w:w="0" w:type="auto"/>
        <w:tblLook w:val="04A0" w:firstRow="1" w:lastRow="0" w:firstColumn="1" w:lastColumn="0" w:noHBand="0" w:noVBand="1"/>
      </w:tblPr>
      <w:tblGrid>
        <w:gridCol w:w="4675"/>
        <w:gridCol w:w="4675"/>
      </w:tblGrid>
      <w:tr w:rsidR="00EB6F44" w14:paraId="75D11909" w14:textId="77777777">
        <w:tc>
          <w:tcPr>
            <w:tcW w:w="4680" w:type="dxa"/>
            <w:shd w:val="clear" w:color="auto" w:fill="0E7C86"/>
          </w:tcPr>
          <w:p w14:paraId="46E6B95D" w14:textId="77777777" w:rsidR="00EB6F44" w:rsidRDefault="00000000">
            <w:r>
              <w:rPr>
                <w:rFonts w:ascii="Calibri" w:hAnsi="Calibri"/>
                <w:b/>
                <w:color w:val="FFFFFF"/>
                <w:sz w:val="20"/>
              </w:rPr>
              <w:t>Capability</w:t>
            </w:r>
          </w:p>
        </w:tc>
        <w:tc>
          <w:tcPr>
            <w:tcW w:w="4680" w:type="dxa"/>
            <w:shd w:val="clear" w:color="auto" w:fill="0E7C86"/>
          </w:tcPr>
          <w:p w14:paraId="1C61FA6E" w14:textId="77777777" w:rsidR="00EB6F44" w:rsidRDefault="00000000">
            <w:r>
              <w:rPr>
                <w:rFonts w:ascii="Calibri" w:hAnsi="Calibri"/>
                <w:b/>
                <w:color w:val="FFFFFF"/>
                <w:sz w:val="20"/>
              </w:rPr>
              <w:t>Business question it answers</w:t>
            </w:r>
          </w:p>
        </w:tc>
      </w:tr>
      <w:tr w:rsidR="00EB6F44" w14:paraId="6A9B529A" w14:textId="77777777">
        <w:tc>
          <w:tcPr>
            <w:tcW w:w="4680" w:type="dxa"/>
          </w:tcPr>
          <w:p w14:paraId="71BA6E9E" w14:textId="77777777" w:rsidR="00EB6F44" w:rsidRDefault="00000000">
            <w:r>
              <w:rPr>
                <w:rFonts w:ascii="Calibri" w:hAnsi="Calibri"/>
                <w:b/>
                <w:color w:val="1A365D"/>
                <w:sz w:val="20"/>
              </w:rPr>
              <w:t>Peer store identification</w:t>
            </w:r>
          </w:p>
        </w:tc>
        <w:tc>
          <w:tcPr>
            <w:tcW w:w="4680" w:type="dxa"/>
          </w:tcPr>
          <w:p w14:paraId="1832A973" w14:textId="77777777" w:rsidR="00EB6F44" w:rsidRDefault="00000000">
            <w:r>
              <w:rPr>
                <w:rFonts w:ascii="Calibri" w:hAnsi="Calibri"/>
                <w:color w:val="475569"/>
                <w:sz w:val="20"/>
              </w:rPr>
              <w:t>Which locations behave like mine — beyond geography or format?</w:t>
            </w:r>
          </w:p>
        </w:tc>
      </w:tr>
      <w:tr w:rsidR="00EB6F44" w14:paraId="7A0CC468" w14:textId="77777777">
        <w:tc>
          <w:tcPr>
            <w:tcW w:w="4680" w:type="dxa"/>
            <w:shd w:val="clear" w:color="auto" w:fill="F8FAFC"/>
          </w:tcPr>
          <w:p w14:paraId="63BCD621" w14:textId="77777777" w:rsidR="00EB6F44" w:rsidRDefault="00000000">
            <w:r>
              <w:rPr>
                <w:rFonts w:ascii="Calibri" w:hAnsi="Calibri"/>
                <w:b/>
                <w:color w:val="1A365D"/>
                <w:sz w:val="20"/>
              </w:rPr>
              <w:t>Store clustering</w:t>
            </w:r>
          </w:p>
        </w:tc>
        <w:tc>
          <w:tcPr>
            <w:tcW w:w="4680" w:type="dxa"/>
            <w:shd w:val="clear" w:color="auto" w:fill="F8FAFC"/>
          </w:tcPr>
          <w:p w14:paraId="5E6F9750" w14:textId="77777777" w:rsidR="00EB6F44" w:rsidRDefault="00000000">
            <w:r>
              <w:rPr>
                <w:rFonts w:ascii="Calibri" w:hAnsi="Calibri"/>
                <w:color w:val="475569"/>
                <w:sz w:val="20"/>
              </w:rPr>
              <w:t>What natural store archetypes exist across our network?</w:t>
            </w:r>
          </w:p>
        </w:tc>
      </w:tr>
      <w:tr w:rsidR="00EB6F44" w14:paraId="47726F11" w14:textId="77777777">
        <w:tc>
          <w:tcPr>
            <w:tcW w:w="4680" w:type="dxa"/>
          </w:tcPr>
          <w:p w14:paraId="56D7BCA5" w14:textId="77777777" w:rsidR="00EB6F44" w:rsidRDefault="00000000">
            <w:r>
              <w:rPr>
                <w:rFonts w:ascii="Calibri" w:hAnsi="Calibri"/>
                <w:b/>
                <w:color w:val="1A365D"/>
                <w:sz w:val="20"/>
              </w:rPr>
              <w:t>Gap analysis</w:t>
            </w:r>
          </w:p>
        </w:tc>
        <w:tc>
          <w:tcPr>
            <w:tcW w:w="4680" w:type="dxa"/>
          </w:tcPr>
          <w:p w14:paraId="2D6CF151" w14:textId="77777777" w:rsidR="00EB6F44" w:rsidRDefault="00000000">
            <w:r>
              <w:rPr>
                <w:rFonts w:ascii="Calibri" w:hAnsi="Calibri"/>
                <w:color w:val="475569"/>
                <w:sz w:val="20"/>
              </w:rPr>
              <w:t>What are high-performing peers doing that this store is not?</w:t>
            </w:r>
          </w:p>
        </w:tc>
      </w:tr>
      <w:tr w:rsidR="00EB6F44" w14:paraId="30455553" w14:textId="77777777">
        <w:tc>
          <w:tcPr>
            <w:tcW w:w="4680" w:type="dxa"/>
            <w:shd w:val="clear" w:color="auto" w:fill="F8FAFC"/>
          </w:tcPr>
          <w:p w14:paraId="0C1BB353" w14:textId="77777777" w:rsidR="00EB6F44" w:rsidRDefault="00000000">
            <w:r>
              <w:rPr>
                <w:rFonts w:ascii="Calibri" w:hAnsi="Calibri"/>
                <w:b/>
                <w:color w:val="1A365D"/>
                <w:sz w:val="20"/>
              </w:rPr>
              <w:t>Actionable recommendations</w:t>
            </w:r>
          </w:p>
        </w:tc>
        <w:tc>
          <w:tcPr>
            <w:tcW w:w="4680" w:type="dxa"/>
            <w:shd w:val="clear" w:color="auto" w:fill="F8FAFC"/>
          </w:tcPr>
          <w:p w14:paraId="1DBB29F5" w14:textId="77777777" w:rsidR="00EB6F44" w:rsidRDefault="00000000">
            <w:r>
              <w:rPr>
                <w:rFonts w:ascii="Calibri" w:hAnsi="Calibri"/>
                <w:color w:val="475569"/>
                <w:sz w:val="20"/>
              </w:rPr>
              <w:t>What should we change — in plain language, not model output?</w:t>
            </w:r>
          </w:p>
        </w:tc>
      </w:tr>
    </w:tbl>
    <w:p w14:paraId="6EE72944" w14:textId="77777777" w:rsidR="00EB6F44" w:rsidRDefault="00EB6F44"/>
    <w:p w14:paraId="352706EC" w14:textId="77777777" w:rsidR="00EB6F44" w:rsidRDefault="00000000">
      <w:pPr>
        <w:spacing w:after="320"/>
      </w:pPr>
      <w:r>
        <w:rPr>
          <w:rFonts w:ascii="Calibri" w:hAnsi="Calibri"/>
          <w:b/>
          <w:color w:val="475569"/>
        </w:rPr>
        <w:t>The unmet need is unified store intelligence — a single, comparable view of each location that business users can act on without interpreting raw AI outputs.</w:t>
      </w:r>
    </w:p>
    <w:p w14:paraId="354150E5" w14:textId="77777777" w:rsidR="00EB6F44" w:rsidRDefault="00000000">
      <w:pPr>
        <w:pStyle w:val="Heading1"/>
      </w:pPr>
      <w:r>
        <w:rPr>
          <w:rFonts w:ascii="Calibri" w:hAnsi="Calibri"/>
          <w:color w:val="1A365D"/>
        </w:rPr>
        <w:t>4. Why This Matters Across Clients</w:t>
      </w:r>
    </w:p>
    <w:p w14:paraId="25C92DC5" w14:textId="77777777" w:rsidR="00EB6F44" w:rsidRDefault="00000000">
      <w:pPr>
        <w:spacing w:after="160"/>
      </w:pPr>
      <w:r>
        <w:rPr>
          <w:rFonts w:ascii="Calibri" w:hAnsi="Calibri"/>
          <w:b/>
          <w:color w:val="475569"/>
        </w:rPr>
        <w:t>This is not a single-retailer problem. It is an operating-model problem.</w:t>
      </w:r>
    </w:p>
    <w:p w14:paraId="31EDAA78" w14:textId="77777777" w:rsidR="00EB6F44" w:rsidRDefault="00000000">
      <w:pPr>
        <w:pStyle w:val="Heading2"/>
      </w:pPr>
      <w:r>
        <w:rPr>
          <w:rFonts w:ascii="Calibri" w:hAnsi="Calibri"/>
          <w:color w:val="0E7C86"/>
        </w:rPr>
        <w:t>Shared questions every client asks</w:t>
      </w:r>
    </w:p>
    <w:p w14:paraId="05B19783" w14:textId="77777777" w:rsidR="00EB6F44" w:rsidRDefault="00000000">
      <w:pPr>
        <w:pStyle w:val="ListBullet"/>
        <w:spacing w:after="80"/>
      </w:pPr>
      <w:r>
        <w:rPr>
          <w:rFonts w:ascii="Calibri" w:hAnsi="Calibri"/>
          <w:color w:val="475569"/>
          <w:sz w:val="21"/>
        </w:rPr>
        <w:t>Which stores are genuinely comparable to this one?</w:t>
      </w:r>
    </w:p>
    <w:p w14:paraId="090E2EDF" w14:textId="77777777" w:rsidR="00EB6F44" w:rsidRDefault="00000000">
      <w:pPr>
        <w:pStyle w:val="ListBullet"/>
        <w:spacing w:after="80"/>
      </w:pPr>
      <w:r>
        <w:rPr>
          <w:rFonts w:ascii="Calibri" w:hAnsi="Calibri"/>
          <w:color w:val="475569"/>
          <w:sz w:val="21"/>
        </w:rPr>
        <w:t>Why does one location lag while another with a similar footprint succeeds?</w:t>
      </w:r>
    </w:p>
    <w:p w14:paraId="0028CFEC" w14:textId="77777777" w:rsidR="00EB6F44" w:rsidRDefault="00000000">
      <w:pPr>
        <w:pStyle w:val="ListBullet"/>
        <w:spacing w:after="80"/>
      </w:pPr>
      <w:r>
        <w:rPr>
          <w:rFonts w:ascii="Calibri" w:hAnsi="Calibri"/>
          <w:color w:val="475569"/>
          <w:sz w:val="21"/>
        </w:rPr>
        <w:t>What should a specific store change to lift sales, operations, or experience?</w:t>
      </w:r>
    </w:p>
    <w:p w14:paraId="38BD38F9" w14:textId="77777777" w:rsidR="00EB6F44" w:rsidRDefault="00000000">
      <w:pPr>
        <w:pStyle w:val="Heading2"/>
      </w:pPr>
      <w:r>
        <w:rPr>
          <w:rFonts w:ascii="Calibri" w:hAnsi="Calibri"/>
          <w:color w:val="0E7C86"/>
        </w:rPr>
        <w:t>Why current approaches fall short</w:t>
      </w:r>
    </w:p>
    <w:tbl>
      <w:tblPr>
        <w:tblStyle w:val="TableGrid"/>
        <w:tblW w:w="0" w:type="auto"/>
        <w:tblLook w:val="04A0" w:firstRow="1" w:lastRow="0" w:firstColumn="1" w:lastColumn="0" w:noHBand="0" w:noVBand="1"/>
      </w:tblPr>
      <w:tblGrid>
        <w:gridCol w:w="4675"/>
        <w:gridCol w:w="4675"/>
      </w:tblGrid>
      <w:tr w:rsidR="00EB6F44" w14:paraId="231CA969" w14:textId="77777777">
        <w:tc>
          <w:tcPr>
            <w:tcW w:w="4680" w:type="dxa"/>
            <w:shd w:val="clear" w:color="auto" w:fill="F8FAFC"/>
          </w:tcPr>
          <w:p w14:paraId="4E3F70B0" w14:textId="77777777" w:rsidR="00EB6F44" w:rsidRDefault="00000000">
            <w:r>
              <w:rPr>
                <w:rFonts w:ascii="Calibri" w:hAnsi="Calibri"/>
                <w:b/>
                <w:color w:val="1A365D"/>
                <w:sz w:val="20"/>
              </w:rPr>
              <w:t>Typical approach</w:t>
            </w:r>
          </w:p>
        </w:tc>
        <w:tc>
          <w:tcPr>
            <w:tcW w:w="4680" w:type="dxa"/>
            <w:shd w:val="clear" w:color="auto" w:fill="F8FAFC"/>
          </w:tcPr>
          <w:p w14:paraId="72D2FC0E" w14:textId="77777777" w:rsidR="00EB6F44" w:rsidRDefault="00000000">
            <w:r>
              <w:rPr>
                <w:rFonts w:ascii="Calibri" w:hAnsi="Calibri"/>
                <w:b/>
                <w:color w:val="1A365D"/>
                <w:sz w:val="20"/>
              </w:rPr>
              <w:t>Limitation</w:t>
            </w:r>
          </w:p>
        </w:tc>
      </w:tr>
      <w:tr w:rsidR="00EB6F44" w14:paraId="2CCE54FB" w14:textId="77777777">
        <w:tc>
          <w:tcPr>
            <w:tcW w:w="4680" w:type="dxa"/>
          </w:tcPr>
          <w:p w14:paraId="1D9BF298" w14:textId="77777777" w:rsidR="00EB6F44" w:rsidRDefault="00000000">
            <w:r>
              <w:rPr>
                <w:rFonts w:ascii="Calibri" w:hAnsi="Calibri"/>
                <w:color w:val="475569"/>
                <w:sz w:val="20"/>
              </w:rPr>
              <w:t>Compare by region or format</w:t>
            </w:r>
          </w:p>
        </w:tc>
        <w:tc>
          <w:tcPr>
            <w:tcW w:w="4680" w:type="dxa"/>
          </w:tcPr>
          <w:p w14:paraId="02B675B5" w14:textId="77777777" w:rsidR="00EB6F44" w:rsidRDefault="00000000">
            <w:r>
              <w:rPr>
                <w:rFonts w:ascii="Calibri" w:hAnsi="Calibri"/>
                <w:color w:val="475569"/>
                <w:sz w:val="20"/>
              </w:rPr>
              <w:t>Misses behavioral and contextual similarity</w:t>
            </w:r>
          </w:p>
        </w:tc>
      </w:tr>
      <w:tr w:rsidR="00EB6F44" w14:paraId="3D119314" w14:textId="77777777">
        <w:tc>
          <w:tcPr>
            <w:tcW w:w="4680" w:type="dxa"/>
          </w:tcPr>
          <w:p w14:paraId="029EEBD2" w14:textId="77777777" w:rsidR="00EB6F44" w:rsidRDefault="00000000">
            <w:r>
              <w:rPr>
                <w:rFonts w:ascii="Calibri" w:hAnsi="Calibri"/>
                <w:color w:val="475569"/>
                <w:sz w:val="20"/>
              </w:rPr>
              <w:t>Analyze one data domain at a time</w:t>
            </w:r>
          </w:p>
        </w:tc>
        <w:tc>
          <w:tcPr>
            <w:tcW w:w="4680" w:type="dxa"/>
          </w:tcPr>
          <w:p w14:paraId="25C9781C" w14:textId="77777777" w:rsidR="00EB6F44" w:rsidRDefault="00000000">
            <w:r>
              <w:rPr>
                <w:rFonts w:ascii="Calibri" w:hAnsi="Calibri"/>
                <w:color w:val="475569"/>
                <w:sz w:val="20"/>
              </w:rPr>
              <w:t>Sales, labor, and voice-of-customer never meet</w:t>
            </w:r>
          </w:p>
        </w:tc>
      </w:tr>
      <w:tr w:rsidR="00EB6F44" w14:paraId="7732F644" w14:textId="77777777">
        <w:tc>
          <w:tcPr>
            <w:tcW w:w="4680" w:type="dxa"/>
          </w:tcPr>
          <w:p w14:paraId="66444CFE" w14:textId="77777777" w:rsidR="00EB6F44" w:rsidRDefault="00000000">
            <w:r>
              <w:rPr>
                <w:rFonts w:ascii="Calibri" w:hAnsi="Calibri"/>
                <w:color w:val="475569"/>
                <w:sz w:val="20"/>
              </w:rPr>
              <w:t>Deliver AI outputs to analysts only</w:t>
            </w:r>
          </w:p>
        </w:tc>
        <w:tc>
          <w:tcPr>
            <w:tcW w:w="4680" w:type="dxa"/>
          </w:tcPr>
          <w:p w14:paraId="654A873C" w14:textId="77777777" w:rsidR="00EB6F44" w:rsidRDefault="00000000">
            <w:r>
              <w:rPr>
                <w:rFonts w:ascii="Calibri" w:hAnsi="Calibri"/>
                <w:color w:val="475569"/>
                <w:sz w:val="20"/>
              </w:rPr>
              <w:t>Store leaders cannot translate embeddings into action</w:t>
            </w:r>
          </w:p>
        </w:tc>
      </w:tr>
    </w:tbl>
    <w:p w14:paraId="791E7700" w14:textId="77777777" w:rsidR="00EB6F44" w:rsidRDefault="00EB6F44"/>
    <w:p w14:paraId="20C83536" w14:textId="77777777" w:rsidR="00EB6F44" w:rsidRDefault="00000000">
      <w:pPr>
        <w:pStyle w:val="Heading2"/>
      </w:pPr>
      <w:r>
        <w:rPr>
          <w:rFonts w:ascii="Calibri" w:hAnsi="Calibri"/>
          <w:color w:val="0E7C86"/>
        </w:rPr>
        <w:t>Cross-client relevance</w:t>
      </w:r>
    </w:p>
    <w:p w14:paraId="3BAE15FC" w14:textId="77777777" w:rsidR="00EB6F44" w:rsidRDefault="00000000">
      <w:pPr>
        <w:pStyle w:val="ListBullet"/>
        <w:spacing w:after="80"/>
      </w:pPr>
      <w:r>
        <w:rPr>
          <w:rFonts w:ascii="Calibri" w:hAnsi="Calibri"/>
          <w:color w:val="475569"/>
          <w:sz w:val="21"/>
        </w:rPr>
        <w:t>Grocery, mass, pharmacy, convenience, and specialty chains all run distributed store networks.</w:t>
      </w:r>
    </w:p>
    <w:p w14:paraId="208E3552" w14:textId="77777777" w:rsidR="00EB6F44" w:rsidRDefault="00000000">
      <w:pPr>
        <w:pStyle w:val="ListBullet"/>
        <w:spacing w:after="80"/>
      </w:pPr>
      <w:r>
        <w:rPr>
          <w:rFonts w:ascii="Calibri" w:hAnsi="Calibri"/>
          <w:color w:val="475569"/>
          <w:sz w:val="21"/>
        </w:rPr>
        <w:t>Every client holds internal performance data and access to external customer and market signals.</w:t>
      </w:r>
    </w:p>
    <w:p w14:paraId="0AA05D4A" w14:textId="77777777" w:rsidR="00EB6F44" w:rsidRDefault="00000000">
      <w:pPr>
        <w:pStyle w:val="ListBullet"/>
        <w:spacing w:after="80"/>
      </w:pPr>
      <w:r>
        <w:rPr>
          <w:rFonts w:ascii="Calibri" w:hAnsi="Calibri"/>
          <w:color w:val="475569"/>
          <w:sz w:val="21"/>
        </w:rPr>
        <w:t>The business question stays constant even when the banner changes: identity, peers, and next actions.</w:t>
      </w:r>
    </w:p>
    <w:p w14:paraId="452792D6" w14:textId="77777777" w:rsidR="00EB6F44" w:rsidRDefault="00000000">
      <w:pPr>
        <w:pStyle w:val="Heading1"/>
      </w:pPr>
      <w:r>
        <w:rPr>
          <w:rFonts w:ascii="Calibri" w:hAnsi="Calibri"/>
          <w:color w:val="1A365D"/>
        </w:rPr>
        <w:t>5. Why This Matters at Industry Level</w:t>
      </w:r>
    </w:p>
    <w:p w14:paraId="1A38E300" w14:textId="77777777" w:rsidR="00EB6F44" w:rsidRDefault="00000000">
      <w:pPr>
        <w:spacing w:after="240"/>
      </w:pPr>
      <w:r>
        <w:rPr>
          <w:rFonts w:ascii="Calibri" w:hAnsi="Calibri"/>
          <w:color w:val="475569"/>
        </w:rPr>
        <w:t>Retail is moving from chain-wide averages to store-level relevance. Customers expect localized assortment and service; operators face margin, labor, and loyalty pressure. Spreadsheets and static benchmarks cannot carry that shift across an entire estate.</w:t>
      </w:r>
    </w:p>
    <w:p w14:paraId="136946E0" w14:textId="77777777" w:rsidR="00EB6F44" w:rsidRDefault="00000000">
      <w:pPr>
        <w:pStyle w:val="Heading2"/>
      </w:pPr>
      <w:r>
        <w:rPr>
          <w:rFonts w:ascii="Calibri" w:hAnsi="Calibri"/>
          <w:color w:val="0E7C86"/>
        </w:rPr>
        <w:t>Structural gaps in the industry</w:t>
      </w:r>
    </w:p>
    <w:p w14:paraId="48D0CAFA" w14:textId="77777777" w:rsidR="00EB6F44" w:rsidRDefault="00000000">
      <w:pPr>
        <w:pStyle w:val="ListNumber"/>
        <w:spacing w:after="120"/>
      </w:pPr>
      <w:r>
        <w:rPr>
          <w:rFonts w:ascii="Calibri" w:hAnsi="Calibri"/>
          <w:b/>
          <w:color w:val="1A365D"/>
          <w:sz w:val="21"/>
        </w:rPr>
        <w:t xml:space="preserve">Intelligence remains </w:t>
      </w:r>
      <w:r w:rsidR="00F80B99">
        <w:rPr>
          <w:rFonts w:ascii="Calibri" w:hAnsi="Calibri"/>
          <w:b/>
          <w:color w:val="1A365D"/>
          <w:sz w:val="21"/>
        </w:rPr>
        <w:t>isolated</w:t>
      </w:r>
      <w:r>
        <w:rPr>
          <w:rFonts w:ascii="Calibri" w:hAnsi="Calibri"/>
          <w:b/>
          <w:color w:val="1A365D"/>
          <w:sz w:val="21"/>
        </w:rPr>
        <w:t xml:space="preserve">— </w:t>
      </w:r>
      <w:r>
        <w:rPr>
          <w:rFonts w:ascii="Calibri" w:hAnsi="Calibri"/>
          <w:color w:val="475569"/>
          <w:sz w:val="21"/>
        </w:rPr>
        <w:t>Performance metrics and unstructured signals rarely shape decisions together.</w:t>
      </w:r>
    </w:p>
    <w:p w14:paraId="0D07BD3A" w14:textId="77777777" w:rsidR="00EB6F44" w:rsidRDefault="00000000">
      <w:pPr>
        <w:pStyle w:val="ListNumber"/>
        <w:spacing w:after="120"/>
      </w:pPr>
      <w:r>
        <w:rPr>
          <w:rFonts w:ascii="Calibri" w:hAnsi="Calibri"/>
          <w:b/>
          <w:color w:val="1A365D"/>
          <w:sz w:val="21"/>
        </w:rPr>
        <w:lastRenderedPageBreak/>
        <w:t xml:space="preserve">Benchmarking is surface-level — </w:t>
      </w:r>
      <w:r>
        <w:rPr>
          <w:rFonts w:ascii="Calibri" w:hAnsi="Calibri"/>
          <w:color w:val="475569"/>
          <w:sz w:val="21"/>
        </w:rPr>
        <w:t>Two stores can share a region and format yet serve entirely different demand and expectations.</w:t>
      </w:r>
    </w:p>
    <w:p w14:paraId="7CF31CD4" w14:textId="77777777" w:rsidR="00EB6F44" w:rsidRDefault="00000000">
      <w:pPr>
        <w:pStyle w:val="ListNumber"/>
        <w:spacing w:after="120"/>
      </w:pPr>
      <w:r>
        <w:rPr>
          <w:rFonts w:ascii="Calibri" w:hAnsi="Calibri"/>
          <w:b/>
          <w:color w:val="1A365D"/>
          <w:sz w:val="21"/>
        </w:rPr>
        <w:t xml:space="preserve">AI investment outpaces adoption — </w:t>
      </w:r>
      <w:r>
        <w:rPr>
          <w:rFonts w:ascii="Calibri" w:hAnsi="Calibri"/>
          <w:color w:val="475569"/>
          <w:sz w:val="21"/>
        </w:rPr>
        <w:t>Advanced models produce outputs field teams cannot use without peer context and recommendations.</w:t>
      </w:r>
    </w:p>
    <w:p w14:paraId="15A5EB27" w14:textId="77777777" w:rsidR="00EB6F44" w:rsidRDefault="00000000">
      <w:pPr>
        <w:pStyle w:val="ListNumber"/>
        <w:spacing w:after="120"/>
      </w:pPr>
      <w:r>
        <w:rPr>
          <w:rFonts w:ascii="Calibri" w:hAnsi="Calibri"/>
          <w:b/>
          <w:color w:val="1A365D"/>
          <w:sz w:val="21"/>
        </w:rPr>
        <w:t xml:space="preserve">Scale defeats manual diagnosis — </w:t>
      </w:r>
      <w:r>
        <w:rPr>
          <w:rFonts w:ascii="Calibri" w:hAnsi="Calibri"/>
          <w:color w:val="475569"/>
          <w:sz w:val="21"/>
        </w:rPr>
        <w:t>Leadership cannot personally assess every underperformer; the industry needs repeatable pattern discovery.</w:t>
      </w:r>
    </w:p>
    <w:p w14:paraId="193AEDA5" w14:textId="77777777" w:rsidR="00EB6F44" w:rsidRDefault="00000000">
      <w:pPr>
        <w:pStyle w:val="Heading2"/>
      </w:pPr>
      <w:r>
        <w:rPr>
          <w:rFonts w:ascii="Calibri" w:hAnsi="Calibri"/>
          <w:color w:val="0E7C86"/>
        </w:rPr>
        <w:t>Industry-level implication</w:t>
      </w:r>
    </w:p>
    <w:p w14:paraId="04BB8872" w14:textId="77777777" w:rsidR="00EB6F44" w:rsidRPr="00C23077" w:rsidRDefault="00000000">
      <w:pPr>
        <w:spacing w:after="320"/>
        <w:rPr>
          <w:b/>
          <w:bCs/>
        </w:rPr>
      </w:pPr>
      <w:r w:rsidRPr="00C23077">
        <w:rPr>
          <w:rFonts w:ascii="Calibri" w:hAnsi="Calibri"/>
          <w:b/>
          <w:bCs/>
          <w:color w:val="475569"/>
        </w:rPr>
        <w:t>The next competitive edge is not a better chain average — it is smarter decisions at the store. That requires comparing locations on a full picture, clustering by true similarity, and recommending improvements grounded in evidence rather than isolated KPIs.</w:t>
      </w:r>
    </w:p>
    <w:p w14:paraId="296E250E" w14:textId="77777777" w:rsidR="00EB6F44" w:rsidRPr="00156CCC" w:rsidRDefault="00000000">
      <w:pPr>
        <w:pStyle w:val="Heading1"/>
        <w:rPr>
          <w:color w:val="00B050"/>
          <w:sz w:val="40"/>
          <w:szCs w:val="40"/>
        </w:rPr>
      </w:pPr>
      <w:r w:rsidRPr="00156CCC">
        <w:rPr>
          <w:rFonts w:ascii="Calibri" w:hAnsi="Calibri"/>
          <w:color w:val="00B050"/>
          <w:sz w:val="40"/>
          <w:szCs w:val="40"/>
        </w:rPr>
        <w:t>6. Evaluation Focus 2 — Uniqueness</w:t>
      </w:r>
    </w:p>
    <w:tbl>
      <w:tblPr>
        <w:tblStyle w:val="TableGrid"/>
        <w:tblW w:w="0" w:type="auto"/>
        <w:tblLook w:val="04A0" w:firstRow="1" w:lastRow="0" w:firstColumn="1" w:lastColumn="0" w:noHBand="0" w:noVBand="1"/>
      </w:tblPr>
      <w:tblGrid>
        <w:gridCol w:w="4675"/>
        <w:gridCol w:w="4675"/>
      </w:tblGrid>
      <w:tr w:rsidR="00EB6F44" w14:paraId="2E58D005" w14:textId="77777777">
        <w:tc>
          <w:tcPr>
            <w:tcW w:w="4680" w:type="dxa"/>
            <w:shd w:val="clear" w:color="auto" w:fill="1A365D"/>
          </w:tcPr>
          <w:p w14:paraId="019040F0" w14:textId="77777777" w:rsidR="00EB6F44" w:rsidRDefault="00000000">
            <w:r>
              <w:rPr>
                <w:rFonts w:ascii="Calibri" w:hAnsi="Calibri"/>
                <w:b/>
                <w:color w:val="FFFFFF"/>
                <w:sz w:val="20"/>
              </w:rPr>
              <w:t>Question under review</w:t>
            </w:r>
          </w:p>
        </w:tc>
        <w:tc>
          <w:tcPr>
            <w:tcW w:w="4680" w:type="dxa"/>
            <w:shd w:val="clear" w:color="auto" w:fill="1A365D"/>
          </w:tcPr>
          <w:p w14:paraId="1617E92B" w14:textId="77777777" w:rsidR="00EB6F44" w:rsidRDefault="00000000">
            <w:r>
              <w:rPr>
                <w:rFonts w:ascii="Calibri" w:hAnsi="Calibri"/>
                <w:b/>
                <w:color w:val="FFFFFF"/>
                <w:sz w:val="20"/>
              </w:rPr>
              <w:t>Assessment</w:t>
            </w:r>
          </w:p>
        </w:tc>
      </w:tr>
      <w:tr w:rsidR="00EB6F44" w14:paraId="7E2CF452" w14:textId="77777777">
        <w:tc>
          <w:tcPr>
            <w:tcW w:w="4680" w:type="dxa"/>
          </w:tcPr>
          <w:p w14:paraId="2031140A" w14:textId="77777777" w:rsidR="00EB6F44" w:rsidRPr="00C23077" w:rsidRDefault="00C23077">
            <w:pPr>
              <w:rPr>
                <w:rFonts w:ascii="Calibri" w:hAnsi="Calibri"/>
                <w:color w:val="475569"/>
                <w:sz w:val="20"/>
                <w:lang w:val="en-IN"/>
              </w:rPr>
            </w:pPr>
            <w:r w:rsidRPr="00C23077">
              <w:rPr>
                <w:rFonts w:ascii="Calibri" w:hAnsi="Calibri"/>
                <w:color w:val="475569"/>
                <w:sz w:val="20"/>
                <w:lang w:val="en-IN"/>
              </w:rPr>
              <w:t>Does another solution exist – if it does, how can we differentiate, if not, do we really have first mover advantage</w:t>
            </w:r>
          </w:p>
        </w:tc>
        <w:tc>
          <w:tcPr>
            <w:tcW w:w="4680" w:type="dxa"/>
          </w:tcPr>
          <w:p w14:paraId="15DA9904" w14:textId="77777777" w:rsidR="00EB6F44" w:rsidRDefault="00000000">
            <w:r>
              <w:rPr>
                <w:rFonts w:ascii="Calibri" w:hAnsi="Calibri"/>
                <w:b/>
                <w:color w:val="0E7C86"/>
              </w:rPr>
              <w:t>Partial alternatives exist — differentiation is real; first-mover advantage is moderate, not absolute.</w:t>
            </w:r>
          </w:p>
        </w:tc>
      </w:tr>
    </w:tbl>
    <w:p w14:paraId="1DA5E963" w14:textId="77777777" w:rsidR="00EB6F44" w:rsidRDefault="00EB6F44"/>
    <w:tbl>
      <w:tblPr>
        <w:tblW w:w="0" w:type="auto"/>
        <w:tblLook w:val="04A0" w:firstRow="1" w:lastRow="0" w:firstColumn="1" w:lastColumn="0" w:noHBand="0" w:noVBand="1"/>
      </w:tblPr>
      <w:tblGrid>
        <w:gridCol w:w="9360"/>
      </w:tblGrid>
      <w:tr w:rsidR="00EB6F44" w14:paraId="4901420A" w14:textId="77777777" w:rsidTr="00A2432C">
        <w:trPr>
          <w:trHeight w:val="73"/>
        </w:trPr>
        <w:tc>
          <w:tcPr>
            <w:tcW w:w="9360" w:type="dxa"/>
            <w:shd w:val="clear" w:color="auto" w:fill="FFFFFF" w:themeFill="background1"/>
          </w:tcPr>
          <w:p w14:paraId="00F732F1" w14:textId="77777777" w:rsidR="00C23077" w:rsidRPr="00C23077" w:rsidRDefault="00000000" w:rsidP="00C23077">
            <w:pPr>
              <w:spacing w:after="0" w:line="240" w:lineRule="auto"/>
              <w:rPr>
                <w:rFonts w:ascii="Calibri" w:hAnsi="Calibri"/>
                <w:b/>
                <w:color w:val="1F497D" w:themeColor="text2"/>
                <w:sz w:val="28"/>
              </w:rPr>
            </w:pPr>
            <w:r w:rsidRPr="00C23077">
              <w:rPr>
                <w:rFonts w:ascii="Calibri" w:hAnsi="Calibri"/>
                <w:b/>
                <w:color w:val="1F497D" w:themeColor="text2"/>
                <w:sz w:val="28"/>
              </w:rPr>
              <w:t>Differentiated positioning — not a greenfield category</w:t>
            </w:r>
          </w:p>
          <w:p w14:paraId="2669EEF7" w14:textId="77777777" w:rsidR="00EB6F44" w:rsidRDefault="00C23077" w:rsidP="00C23077">
            <w:pPr>
              <w:spacing w:after="0" w:line="240" w:lineRule="auto"/>
            </w:pPr>
            <w:r w:rsidRPr="00C23077">
              <w:rPr>
                <w:rFonts w:ascii="Calibri" w:hAnsi="Calibri"/>
                <w:color w:val="1F497D" w:themeColor="text2"/>
                <w:sz w:val="20"/>
              </w:rPr>
              <w:t>Store DNA wins by integrating multimodal store identity, smarter peer logic, and business-readable outcomes.</w:t>
            </w:r>
          </w:p>
        </w:tc>
      </w:tr>
    </w:tbl>
    <w:p w14:paraId="504F4379" w14:textId="77777777" w:rsidR="00EB6F44" w:rsidRDefault="00000000">
      <w:pPr>
        <w:pStyle w:val="Heading1"/>
      </w:pPr>
      <w:r>
        <w:rPr>
          <w:rFonts w:ascii="Calibri" w:hAnsi="Calibri"/>
          <w:color w:val="1A365D"/>
        </w:rPr>
        <w:t>7. Market Landscape — What Already Exists</w:t>
      </w:r>
    </w:p>
    <w:p w14:paraId="0BDC6635" w14:textId="77777777" w:rsidR="00EB6F44" w:rsidRDefault="00000000">
      <w:r>
        <w:rPr>
          <w:rFonts w:ascii="Calibri" w:hAnsi="Calibri"/>
          <w:color w:val="475569"/>
        </w:rPr>
        <w:t>Retailers are not starting from zero. The market already offers tools that touch parts of the StoreDNA vision — but rarely as one coherent product.</w:t>
      </w:r>
    </w:p>
    <w:tbl>
      <w:tblPr>
        <w:tblStyle w:val="TableGrid"/>
        <w:tblW w:w="0" w:type="auto"/>
        <w:tblLook w:val="04A0" w:firstRow="1" w:lastRow="0" w:firstColumn="1" w:lastColumn="0" w:noHBand="0" w:noVBand="1"/>
      </w:tblPr>
      <w:tblGrid>
        <w:gridCol w:w="4675"/>
        <w:gridCol w:w="4675"/>
      </w:tblGrid>
      <w:tr w:rsidR="00EB6F44" w14:paraId="56835E1A" w14:textId="77777777">
        <w:tc>
          <w:tcPr>
            <w:tcW w:w="4680" w:type="dxa"/>
            <w:shd w:val="clear" w:color="auto" w:fill="0E7C86"/>
          </w:tcPr>
          <w:p w14:paraId="2149AC4A" w14:textId="77777777" w:rsidR="00EB6F44" w:rsidRDefault="00000000">
            <w:r>
              <w:rPr>
                <w:rFonts w:ascii="Calibri" w:hAnsi="Calibri"/>
                <w:b/>
                <w:color w:val="FFFFFF"/>
                <w:sz w:val="20"/>
              </w:rPr>
              <w:t>Solution category</w:t>
            </w:r>
          </w:p>
        </w:tc>
        <w:tc>
          <w:tcPr>
            <w:tcW w:w="4680" w:type="dxa"/>
            <w:shd w:val="clear" w:color="auto" w:fill="0E7C86"/>
          </w:tcPr>
          <w:p w14:paraId="22634CBB" w14:textId="77777777" w:rsidR="00EB6F44" w:rsidRDefault="00000000">
            <w:r>
              <w:rPr>
                <w:rFonts w:ascii="Calibri" w:hAnsi="Calibri"/>
                <w:b/>
                <w:color w:val="FFFFFF"/>
                <w:sz w:val="20"/>
              </w:rPr>
              <w:t>Gap StoreDNA can fill</w:t>
            </w:r>
          </w:p>
        </w:tc>
      </w:tr>
      <w:tr w:rsidR="00EB6F44" w14:paraId="7197462B" w14:textId="77777777">
        <w:tc>
          <w:tcPr>
            <w:tcW w:w="4680" w:type="dxa"/>
          </w:tcPr>
          <w:p w14:paraId="08BDDFD1" w14:textId="77777777" w:rsidR="00EB6F44" w:rsidRDefault="00000000">
            <w:r>
              <w:rPr>
                <w:rFonts w:ascii="Calibri" w:hAnsi="Calibri"/>
                <w:b/>
                <w:color w:val="1A365D"/>
                <w:sz w:val="20"/>
              </w:rPr>
              <w:t>Retail BI &amp; performance platforms</w:t>
            </w:r>
          </w:p>
        </w:tc>
        <w:tc>
          <w:tcPr>
            <w:tcW w:w="4680" w:type="dxa"/>
          </w:tcPr>
          <w:p w14:paraId="77401CA1" w14:textId="77777777" w:rsidR="00EB6F44" w:rsidRDefault="00000000">
            <w:r>
              <w:rPr>
                <w:rFonts w:ascii="Calibri" w:hAnsi="Calibri"/>
                <w:color w:val="475569"/>
                <w:sz w:val="20"/>
              </w:rPr>
              <w:t>Strong on KPIs by store; weak at fusing customer voice and local market context into one identity</w:t>
            </w:r>
          </w:p>
        </w:tc>
      </w:tr>
      <w:tr w:rsidR="00EB6F44" w14:paraId="2502A14A" w14:textId="77777777">
        <w:tc>
          <w:tcPr>
            <w:tcW w:w="4680" w:type="dxa"/>
            <w:shd w:val="clear" w:color="auto" w:fill="F8FAFC"/>
          </w:tcPr>
          <w:p w14:paraId="536BDF39" w14:textId="77777777" w:rsidR="00EB6F44" w:rsidRDefault="00000000">
            <w:r>
              <w:rPr>
                <w:rFonts w:ascii="Calibri" w:hAnsi="Calibri"/>
                <w:b/>
                <w:color w:val="1A365D"/>
                <w:sz w:val="20"/>
              </w:rPr>
              <w:t>Benchmarking &amp; category analytics</w:t>
            </w:r>
          </w:p>
        </w:tc>
        <w:tc>
          <w:tcPr>
            <w:tcW w:w="4680" w:type="dxa"/>
            <w:shd w:val="clear" w:color="auto" w:fill="F8FAFC"/>
          </w:tcPr>
          <w:p w14:paraId="6C5F746E" w14:textId="77777777" w:rsidR="00EB6F44" w:rsidRDefault="00000000">
            <w:r>
              <w:rPr>
                <w:rFonts w:ascii="Calibri" w:hAnsi="Calibri"/>
                <w:color w:val="475569"/>
                <w:sz w:val="20"/>
              </w:rPr>
              <w:t>Useful rankings and chain averages; peer groups are usually rule-based, not behavioral</w:t>
            </w:r>
          </w:p>
        </w:tc>
      </w:tr>
      <w:tr w:rsidR="00EB6F44" w14:paraId="24FEB365" w14:textId="77777777">
        <w:tc>
          <w:tcPr>
            <w:tcW w:w="4680" w:type="dxa"/>
          </w:tcPr>
          <w:p w14:paraId="70F25B23" w14:textId="77777777" w:rsidR="00EB6F44" w:rsidRDefault="00000000">
            <w:r>
              <w:rPr>
                <w:rFonts w:ascii="Calibri" w:hAnsi="Calibri"/>
                <w:b/>
                <w:color w:val="1A365D"/>
                <w:sz w:val="20"/>
              </w:rPr>
              <w:t>Location &amp; foot-traffic intelligence</w:t>
            </w:r>
          </w:p>
        </w:tc>
        <w:tc>
          <w:tcPr>
            <w:tcW w:w="4680" w:type="dxa"/>
          </w:tcPr>
          <w:p w14:paraId="1C9F43F4" w14:textId="77777777" w:rsidR="00EB6F44" w:rsidRDefault="00000000">
            <w:r>
              <w:rPr>
                <w:rFonts w:ascii="Calibri" w:hAnsi="Calibri"/>
                <w:color w:val="475569"/>
                <w:sz w:val="20"/>
              </w:rPr>
              <w:t>Good trade-area insight; limited connection to in-store ops, assortment, and sentiment</w:t>
            </w:r>
          </w:p>
        </w:tc>
      </w:tr>
      <w:tr w:rsidR="00EB6F44" w14:paraId="66A534E1" w14:textId="77777777">
        <w:tc>
          <w:tcPr>
            <w:tcW w:w="4680" w:type="dxa"/>
            <w:shd w:val="clear" w:color="auto" w:fill="F8FAFC"/>
          </w:tcPr>
          <w:p w14:paraId="5A34F5AB" w14:textId="77777777" w:rsidR="00EB6F44" w:rsidRDefault="00000000">
            <w:r>
              <w:rPr>
                <w:rFonts w:ascii="Calibri" w:hAnsi="Calibri"/>
                <w:b/>
                <w:color w:val="1A365D"/>
                <w:sz w:val="20"/>
              </w:rPr>
              <w:t>Reputation &amp; CX platforms</w:t>
            </w:r>
          </w:p>
        </w:tc>
        <w:tc>
          <w:tcPr>
            <w:tcW w:w="4680" w:type="dxa"/>
            <w:shd w:val="clear" w:color="auto" w:fill="F8FAFC"/>
          </w:tcPr>
          <w:p w14:paraId="3CC18201" w14:textId="77777777" w:rsidR="00EB6F44" w:rsidRDefault="00000000">
            <w:r>
              <w:rPr>
                <w:rFonts w:ascii="Calibri" w:hAnsi="Calibri"/>
                <w:color w:val="475569"/>
                <w:sz w:val="20"/>
              </w:rPr>
              <w:t>Rich review themes; disconnected from operational performance and revenue diagnosis</w:t>
            </w:r>
          </w:p>
        </w:tc>
      </w:tr>
      <w:tr w:rsidR="00EB6F44" w14:paraId="6B91C05E" w14:textId="77777777">
        <w:tc>
          <w:tcPr>
            <w:tcW w:w="4680" w:type="dxa"/>
          </w:tcPr>
          <w:p w14:paraId="6AEA97BE" w14:textId="77777777" w:rsidR="00EB6F44" w:rsidRDefault="00000000">
            <w:r>
              <w:rPr>
                <w:rFonts w:ascii="Calibri" w:hAnsi="Calibri"/>
                <w:b/>
                <w:color w:val="1A365D"/>
                <w:sz w:val="20"/>
              </w:rPr>
              <w:t>Consulting &amp; custom data science</w:t>
            </w:r>
          </w:p>
        </w:tc>
        <w:tc>
          <w:tcPr>
            <w:tcW w:w="4680" w:type="dxa"/>
          </w:tcPr>
          <w:p w14:paraId="44CC4577" w14:textId="77777777" w:rsidR="00EB6F44" w:rsidRDefault="00000000">
            <w:r>
              <w:rPr>
                <w:rFonts w:ascii="Calibri" w:hAnsi="Calibri"/>
                <w:color w:val="475569"/>
                <w:sz w:val="20"/>
              </w:rPr>
              <w:t>Can build peer models once; expensive, slow, and hard to repeat across clients</w:t>
            </w:r>
          </w:p>
        </w:tc>
      </w:tr>
      <w:tr w:rsidR="00EB6F44" w14:paraId="02210C82" w14:textId="77777777">
        <w:tc>
          <w:tcPr>
            <w:tcW w:w="4680" w:type="dxa"/>
            <w:shd w:val="clear" w:color="auto" w:fill="F8FAFC"/>
          </w:tcPr>
          <w:p w14:paraId="518DC3B1" w14:textId="77777777" w:rsidR="00EB6F44" w:rsidRDefault="00000000">
            <w:r>
              <w:rPr>
                <w:rFonts w:ascii="Calibri" w:hAnsi="Calibri"/>
                <w:b/>
                <w:color w:val="1A365D"/>
                <w:sz w:val="20"/>
              </w:rPr>
              <w:t>Generic enterprise AI platforms</w:t>
            </w:r>
          </w:p>
        </w:tc>
        <w:tc>
          <w:tcPr>
            <w:tcW w:w="4680" w:type="dxa"/>
            <w:shd w:val="clear" w:color="auto" w:fill="F8FAFC"/>
          </w:tcPr>
          <w:p w14:paraId="46994CB8" w14:textId="77777777" w:rsidR="00EB6F44" w:rsidRDefault="00000000">
            <w:r>
              <w:rPr>
                <w:rFonts w:ascii="Calibri" w:hAnsi="Calibri"/>
                <w:color w:val="475569"/>
                <w:sz w:val="20"/>
              </w:rPr>
              <w:t>Technically capable; not packaged as a retail store-fingerprint and recommendation product</w:t>
            </w:r>
          </w:p>
        </w:tc>
      </w:tr>
    </w:tbl>
    <w:p w14:paraId="48E98CA6" w14:textId="77777777" w:rsidR="00EB6F44" w:rsidRDefault="00EB6F44"/>
    <w:tbl>
      <w:tblPr>
        <w:tblW w:w="0" w:type="auto"/>
        <w:tblLook w:val="04A0" w:firstRow="1" w:lastRow="0" w:firstColumn="1" w:lastColumn="0" w:noHBand="0" w:noVBand="1"/>
      </w:tblPr>
      <w:tblGrid>
        <w:gridCol w:w="9360"/>
      </w:tblGrid>
      <w:tr w:rsidR="00EB6F44" w14:paraId="340C305D" w14:textId="77777777">
        <w:tc>
          <w:tcPr>
            <w:tcW w:w="9360" w:type="dxa"/>
            <w:shd w:val="clear" w:color="auto" w:fill="E8F4F6"/>
          </w:tcPr>
          <w:p w14:paraId="42C5A9B4" w14:textId="77777777" w:rsidR="00EB6F44" w:rsidRDefault="00000000">
            <w:pPr>
              <w:spacing w:after="0"/>
            </w:pPr>
            <w:r>
              <w:rPr>
                <w:rFonts w:ascii="Calibri" w:hAnsi="Calibri"/>
                <w:color w:val="475569"/>
                <w:sz w:val="21"/>
              </w:rPr>
              <w:t>The market has fragments — dashboards, location tools, sentiment platforms, and bespoke analytics — but no clear category leader for an AI-native store fingerprint that drives peer-based recommendations.</w:t>
            </w:r>
          </w:p>
        </w:tc>
      </w:tr>
    </w:tbl>
    <w:p w14:paraId="52A82EAF" w14:textId="77777777" w:rsidR="00EB6F44" w:rsidRDefault="00EB6F44"/>
    <w:p w14:paraId="1913D3AE" w14:textId="77777777" w:rsidR="00EB6F44" w:rsidRDefault="00000000">
      <w:pPr>
        <w:pStyle w:val="Heading1"/>
      </w:pPr>
      <w:r>
        <w:rPr>
          <w:rFonts w:ascii="Calibri" w:hAnsi="Calibri"/>
          <w:color w:val="1A365D"/>
        </w:rPr>
        <w:lastRenderedPageBreak/>
        <w:t>8. How StoreDNA Can Differentiate</w:t>
      </w:r>
    </w:p>
    <w:p w14:paraId="28AC8777" w14:textId="77777777" w:rsidR="00EB6F44" w:rsidRDefault="00000000">
      <w:r>
        <w:rPr>
          <w:rFonts w:ascii="Calibri" w:hAnsi="Calibri"/>
          <w:b/>
          <w:color w:val="475569"/>
        </w:rPr>
        <w:t xml:space="preserve">Differentiation should be framed around outcomes and </w:t>
      </w:r>
      <w:r w:rsidR="003456DD">
        <w:rPr>
          <w:rFonts w:ascii="Calibri" w:hAnsi="Calibri"/>
          <w:b/>
          <w:color w:val="475569"/>
        </w:rPr>
        <w:t>methods.</w:t>
      </w:r>
    </w:p>
    <w:tbl>
      <w:tblPr>
        <w:tblStyle w:val="TableGrid"/>
        <w:tblW w:w="0" w:type="auto"/>
        <w:tblLook w:val="04A0" w:firstRow="1" w:lastRow="0" w:firstColumn="1" w:lastColumn="0" w:noHBand="0" w:noVBand="1"/>
      </w:tblPr>
      <w:tblGrid>
        <w:gridCol w:w="3117"/>
        <w:gridCol w:w="3116"/>
        <w:gridCol w:w="3117"/>
      </w:tblGrid>
      <w:tr w:rsidR="00EB6F44" w14:paraId="2B5FF231" w14:textId="77777777">
        <w:tc>
          <w:tcPr>
            <w:tcW w:w="3120" w:type="dxa"/>
            <w:shd w:val="clear" w:color="auto" w:fill="1A365D"/>
          </w:tcPr>
          <w:p w14:paraId="7DD59E1E" w14:textId="77777777" w:rsidR="00EB6F44" w:rsidRDefault="00000000">
            <w:r>
              <w:rPr>
                <w:rFonts w:ascii="Calibri" w:hAnsi="Calibri"/>
                <w:b/>
                <w:color w:val="FFFFFF"/>
                <w:sz w:val="20"/>
              </w:rPr>
              <w:t>Differentiator</w:t>
            </w:r>
          </w:p>
        </w:tc>
        <w:tc>
          <w:tcPr>
            <w:tcW w:w="3120" w:type="dxa"/>
            <w:shd w:val="clear" w:color="auto" w:fill="1A365D"/>
          </w:tcPr>
          <w:p w14:paraId="071FE674" w14:textId="77777777" w:rsidR="00EB6F44" w:rsidRDefault="00000000">
            <w:r>
              <w:rPr>
                <w:rFonts w:ascii="Calibri" w:hAnsi="Calibri"/>
                <w:b/>
                <w:color w:val="FFFFFF"/>
                <w:sz w:val="20"/>
              </w:rPr>
              <w:t>Typical market approach</w:t>
            </w:r>
          </w:p>
        </w:tc>
        <w:tc>
          <w:tcPr>
            <w:tcW w:w="3120" w:type="dxa"/>
            <w:shd w:val="clear" w:color="auto" w:fill="1A365D"/>
          </w:tcPr>
          <w:p w14:paraId="6DD8A5DD" w14:textId="77777777" w:rsidR="00EB6F44" w:rsidRDefault="00000000">
            <w:r>
              <w:rPr>
                <w:rFonts w:ascii="Calibri" w:hAnsi="Calibri"/>
                <w:b/>
                <w:color w:val="FFFFFF"/>
                <w:sz w:val="20"/>
              </w:rPr>
              <w:t>StoreDNA opportunity</w:t>
            </w:r>
          </w:p>
        </w:tc>
      </w:tr>
      <w:tr w:rsidR="00EB6F44" w14:paraId="76734D78" w14:textId="77777777">
        <w:tc>
          <w:tcPr>
            <w:tcW w:w="3120" w:type="dxa"/>
          </w:tcPr>
          <w:p w14:paraId="1ADB12A7" w14:textId="77777777" w:rsidR="00EB6F44" w:rsidRDefault="00000000">
            <w:r>
              <w:rPr>
                <w:rFonts w:ascii="Calibri" w:hAnsi="Calibri"/>
                <w:b/>
                <w:color w:val="1A365D"/>
                <w:sz w:val="20"/>
              </w:rPr>
              <w:t>Unified store identity</w:t>
            </w:r>
          </w:p>
        </w:tc>
        <w:tc>
          <w:tcPr>
            <w:tcW w:w="3120" w:type="dxa"/>
          </w:tcPr>
          <w:p w14:paraId="616743C4" w14:textId="77777777" w:rsidR="00EB6F44" w:rsidRDefault="003456DD">
            <w:r>
              <w:rPr>
                <w:rFonts w:ascii="Calibri" w:hAnsi="Calibri"/>
                <w:color w:val="475569"/>
                <w:sz w:val="20"/>
              </w:rPr>
              <w:t>Isolated reports by domain</w:t>
            </w:r>
          </w:p>
        </w:tc>
        <w:tc>
          <w:tcPr>
            <w:tcW w:w="3120" w:type="dxa"/>
          </w:tcPr>
          <w:p w14:paraId="519FB1C2" w14:textId="77777777" w:rsidR="00EB6F44" w:rsidRDefault="00000000">
            <w:r>
              <w:rPr>
                <w:rFonts w:ascii="Calibri" w:hAnsi="Calibri"/>
                <w:color w:val="475569"/>
                <w:sz w:val="20"/>
              </w:rPr>
              <w:t>One comparable fingerprint from internal + external signals</w:t>
            </w:r>
          </w:p>
        </w:tc>
      </w:tr>
      <w:tr w:rsidR="00EB6F44" w14:paraId="005E68FB" w14:textId="77777777">
        <w:tc>
          <w:tcPr>
            <w:tcW w:w="3120" w:type="dxa"/>
            <w:shd w:val="clear" w:color="auto" w:fill="F8FAFC"/>
          </w:tcPr>
          <w:p w14:paraId="406FE74F" w14:textId="77777777" w:rsidR="00EB6F44" w:rsidRDefault="00000000">
            <w:r>
              <w:rPr>
                <w:rFonts w:ascii="Calibri" w:hAnsi="Calibri"/>
                <w:b/>
                <w:color w:val="1A365D"/>
                <w:sz w:val="20"/>
              </w:rPr>
              <w:t>Peer logic</w:t>
            </w:r>
          </w:p>
        </w:tc>
        <w:tc>
          <w:tcPr>
            <w:tcW w:w="3120" w:type="dxa"/>
            <w:shd w:val="clear" w:color="auto" w:fill="F8FAFC"/>
          </w:tcPr>
          <w:p w14:paraId="20099F23" w14:textId="77777777" w:rsidR="00EB6F44" w:rsidRDefault="00000000">
            <w:r>
              <w:rPr>
                <w:rFonts w:ascii="Calibri" w:hAnsi="Calibri"/>
                <w:color w:val="475569"/>
                <w:sz w:val="20"/>
              </w:rPr>
              <w:t>Region, format, or revenue band</w:t>
            </w:r>
          </w:p>
        </w:tc>
        <w:tc>
          <w:tcPr>
            <w:tcW w:w="3120" w:type="dxa"/>
            <w:shd w:val="clear" w:color="auto" w:fill="F8FAFC"/>
          </w:tcPr>
          <w:p w14:paraId="2C2AC899" w14:textId="77777777" w:rsidR="00EB6F44" w:rsidRDefault="00000000">
            <w:r>
              <w:rPr>
                <w:rFonts w:ascii="Calibri" w:hAnsi="Calibri"/>
                <w:color w:val="475569"/>
                <w:sz w:val="20"/>
              </w:rPr>
              <w:t>Behavioral and contextual similarity across the network</w:t>
            </w:r>
          </w:p>
        </w:tc>
      </w:tr>
      <w:tr w:rsidR="00EB6F44" w14:paraId="77E1474D" w14:textId="77777777">
        <w:tc>
          <w:tcPr>
            <w:tcW w:w="3120" w:type="dxa"/>
          </w:tcPr>
          <w:p w14:paraId="40EE1F07" w14:textId="77777777" w:rsidR="00EB6F44" w:rsidRDefault="00000000">
            <w:r>
              <w:rPr>
                <w:rFonts w:ascii="Calibri" w:hAnsi="Calibri"/>
                <w:b/>
                <w:color w:val="1A365D"/>
                <w:sz w:val="20"/>
              </w:rPr>
              <w:t>Output format</w:t>
            </w:r>
          </w:p>
        </w:tc>
        <w:tc>
          <w:tcPr>
            <w:tcW w:w="3120" w:type="dxa"/>
          </w:tcPr>
          <w:p w14:paraId="0A293214" w14:textId="77777777" w:rsidR="00EB6F44" w:rsidRDefault="00000000">
            <w:r>
              <w:rPr>
                <w:rFonts w:ascii="Calibri" w:hAnsi="Calibri"/>
                <w:color w:val="475569"/>
                <w:sz w:val="20"/>
              </w:rPr>
              <w:t>Dashboards and KPI tables</w:t>
            </w:r>
          </w:p>
        </w:tc>
        <w:tc>
          <w:tcPr>
            <w:tcW w:w="3120" w:type="dxa"/>
          </w:tcPr>
          <w:p w14:paraId="6972E5A8" w14:textId="77777777" w:rsidR="00EB6F44" w:rsidRDefault="00000000">
            <w:r>
              <w:rPr>
                <w:rFonts w:ascii="Calibri" w:hAnsi="Calibri"/>
                <w:color w:val="475569"/>
                <w:sz w:val="20"/>
              </w:rPr>
              <w:t>Peers, clusters, gaps, and recommendations leaders can act on</w:t>
            </w:r>
          </w:p>
        </w:tc>
      </w:tr>
      <w:tr w:rsidR="00EB6F44" w14:paraId="457AF2C6" w14:textId="77777777">
        <w:tc>
          <w:tcPr>
            <w:tcW w:w="3120" w:type="dxa"/>
          </w:tcPr>
          <w:p w14:paraId="18795D0C" w14:textId="77777777" w:rsidR="00EB6F44" w:rsidRDefault="00000000">
            <w:r>
              <w:rPr>
                <w:rFonts w:ascii="Calibri" w:hAnsi="Calibri"/>
                <w:b/>
                <w:color w:val="1A365D"/>
                <w:sz w:val="20"/>
              </w:rPr>
              <w:t>Delivery model</w:t>
            </w:r>
          </w:p>
        </w:tc>
        <w:tc>
          <w:tcPr>
            <w:tcW w:w="3120" w:type="dxa"/>
          </w:tcPr>
          <w:p w14:paraId="02F34372" w14:textId="77777777" w:rsidR="00EB6F44" w:rsidRDefault="00000000">
            <w:r>
              <w:rPr>
                <w:rFonts w:ascii="Calibri" w:hAnsi="Calibri"/>
                <w:color w:val="475569"/>
                <w:sz w:val="20"/>
              </w:rPr>
              <w:t>Custom project or static report</w:t>
            </w:r>
          </w:p>
        </w:tc>
        <w:tc>
          <w:tcPr>
            <w:tcW w:w="3120" w:type="dxa"/>
          </w:tcPr>
          <w:p w14:paraId="496F14BA" w14:textId="77777777" w:rsidR="00EB6F44" w:rsidRDefault="00000000">
            <w:r>
              <w:rPr>
                <w:rFonts w:ascii="Calibri" w:hAnsi="Calibri"/>
                <w:color w:val="475569"/>
                <w:sz w:val="20"/>
              </w:rPr>
              <w:t>Repeatable framework portable across retail clients</w:t>
            </w:r>
          </w:p>
        </w:tc>
      </w:tr>
    </w:tbl>
    <w:p w14:paraId="18C06030" w14:textId="77777777" w:rsidR="00EB6F44" w:rsidRDefault="00EB6F44"/>
    <w:p w14:paraId="2736C524" w14:textId="77777777" w:rsidR="00EB6F44" w:rsidRDefault="00000000">
      <w:pPr>
        <w:pStyle w:val="Heading2"/>
      </w:pPr>
      <w:r>
        <w:rPr>
          <w:rFonts w:ascii="Calibri" w:hAnsi="Calibri"/>
          <w:color w:val="0E7C86"/>
        </w:rPr>
        <w:t>Positioning pillars</w:t>
      </w:r>
    </w:p>
    <w:p w14:paraId="7B35B64A" w14:textId="77777777" w:rsidR="00EB6F44" w:rsidRDefault="00000000">
      <w:pPr>
        <w:pStyle w:val="ListNumber"/>
        <w:spacing w:after="120"/>
      </w:pPr>
      <w:r>
        <w:rPr>
          <w:rFonts w:ascii="Calibri" w:hAnsi="Calibri"/>
          <w:b/>
          <w:color w:val="1A365D"/>
          <w:sz w:val="21"/>
        </w:rPr>
        <w:t xml:space="preserve">Full-picture store understanding — </w:t>
      </w:r>
      <w:r>
        <w:rPr>
          <w:rFonts w:ascii="Calibri" w:hAnsi="Calibri"/>
          <w:color w:val="475569"/>
          <w:sz w:val="21"/>
        </w:rPr>
        <w:t>Answer how the store performs, how customers perceive it, and what is happening around it — together.</w:t>
      </w:r>
    </w:p>
    <w:p w14:paraId="569F2845" w14:textId="77777777" w:rsidR="00EB6F44" w:rsidRDefault="00000000">
      <w:pPr>
        <w:pStyle w:val="ListNumber"/>
        <w:spacing w:after="120"/>
      </w:pPr>
      <w:r>
        <w:rPr>
          <w:rFonts w:ascii="Calibri" w:hAnsi="Calibri"/>
          <w:b/>
          <w:color w:val="1A365D"/>
          <w:sz w:val="21"/>
        </w:rPr>
        <w:t xml:space="preserve">Better peers, not just similar locations — </w:t>
      </w:r>
      <w:r>
        <w:rPr>
          <w:rFonts w:ascii="Calibri" w:hAnsi="Calibri"/>
          <w:color w:val="475569"/>
          <w:sz w:val="21"/>
        </w:rPr>
        <w:t>Enable sharper questions: who to learn from, which gaps matter, and what change is realistic.</w:t>
      </w:r>
    </w:p>
    <w:p w14:paraId="32D8D4C8" w14:textId="77777777" w:rsidR="00EB6F44" w:rsidRDefault="00000000">
      <w:pPr>
        <w:pStyle w:val="ListNumber"/>
        <w:spacing w:after="120"/>
      </w:pPr>
      <w:r>
        <w:rPr>
          <w:rFonts w:ascii="Calibri" w:hAnsi="Calibri"/>
          <w:b/>
          <w:color w:val="1A365D"/>
          <w:sz w:val="21"/>
        </w:rPr>
        <w:t xml:space="preserve">Business translation by design — </w:t>
      </w:r>
      <w:r>
        <w:rPr>
          <w:rFonts w:ascii="Calibri" w:hAnsi="Calibri"/>
          <w:color w:val="475569"/>
          <w:sz w:val="21"/>
        </w:rPr>
        <w:t>Keep embeddings as infrastructure; deliver insight as narrative and prioritized action.</w:t>
      </w:r>
    </w:p>
    <w:p w14:paraId="4367BDD8" w14:textId="77777777" w:rsidR="00EB6F44" w:rsidRDefault="00000000">
      <w:pPr>
        <w:pStyle w:val="ListNumber"/>
        <w:spacing w:after="120"/>
      </w:pPr>
      <w:r>
        <w:rPr>
          <w:rFonts w:ascii="Calibri" w:hAnsi="Calibri"/>
          <w:b/>
          <w:color w:val="1A365D"/>
          <w:sz w:val="21"/>
        </w:rPr>
        <w:t xml:space="preserve">Built for localization at scale — </w:t>
      </w:r>
      <w:r>
        <w:rPr>
          <w:rFonts w:ascii="Calibri" w:hAnsi="Calibri"/>
          <w:color w:val="475569"/>
          <w:sz w:val="21"/>
        </w:rPr>
        <w:t>Align with retail's shift from chain-wide standardization to store-level relevance.</w:t>
      </w:r>
    </w:p>
    <w:p w14:paraId="7DEAE25A" w14:textId="77777777" w:rsidR="00EB6F44" w:rsidRDefault="00000000" w:rsidP="006D4702">
      <w:pPr>
        <w:pStyle w:val="Heading1"/>
      </w:pPr>
      <w:r>
        <w:rPr>
          <w:rFonts w:ascii="Calibri" w:hAnsi="Calibri"/>
          <w:color w:val="1A365D"/>
        </w:rPr>
        <w:t xml:space="preserve">9. First-Mover Advantage </w:t>
      </w:r>
    </w:p>
    <w:p w14:paraId="36FAA390" w14:textId="77777777" w:rsidR="00EB6F44" w:rsidRDefault="00000000">
      <w:pPr>
        <w:pStyle w:val="Heading2"/>
      </w:pPr>
      <w:r>
        <w:rPr>
          <w:rFonts w:ascii="Calibri" w:hAnsi="Calibri"/>
          <w:color w:val="0E7C86"/>
        </w:rPr>
        <w:t>Where advantage can be earned</w:t>
      </w:r>
    </w:p>
    <w:p w14:paraId="4861915F" w14:textId="77777777" w:rsidR="00EB6F44" w:rsidRDefault="00000000">
      <w:pPr>
        <w:pStyle w:val="ListBullet"/>
        <w:spacing w:after="80"/>
      </w:pPr>
      <w:r>
        <w:rPr>
          <w:rFonts w:ascii="Calibri" w:hAnsi="Calibri"/>
          <w:color w:val="475569"/>
          <w:sz w:val="21"/>
        </w:rPr>
        <w:t>First to package store fingerprinting as a repeatable product — not a one-off consulting study</w:t>
      </w:r>
    </w:p>
    <w:p w14:paraId="6212BCFB" w14:textId="77777777" w:rsidR="00EB6F44" w:rsidRDefault="00000000">
      <w:pPr>
        <w:pStyle w:val="ListBullet"/>
        <w:spacing w:after="80"/>
      </w:pPr>
      <w:r>
        <w:rPr>
          <w:rFonts w:ascii="Calibri" w:hAnsi="Calibri"/>
          <w:color w:val="475569"/>
          <w:sz w:val="21"/>
        </w:rPr>
        <w:t>First to connect fingerprint → peers → recommendations in language the business already uses</w:t>
      </w:r>
    </w:p>
    <w:p w14:paraId="03E8D05D" w14:textId="4E5CBA8F" w:rsidR="00EB6F44" w:rsidRDefault="00000000">
      <w:pPr>
        <w:pStyle w:val="ListBullet"/>
        <w:spacing w:after="80"/>
      </w:pPr>
      <w:r>
        <w:rPr>
          <w:rFonts w:ascii="Calibri" w:hAnsi="Calibri"/>
          <w:color w:val="475569"/>
          <w:sz w:val="21"/>
        </w:rPr>
        <w:t xml:space="preserve">First to prove outcomes </w:t>
      </w:r>
      <w:r w:rsidR="008A618F">
        <w:rPr>
          <w:rFonts w:ascii="Calibri" w:hAnsi="Calibri"/>
          <w:color w:val="475569"/>
          <w:sz w:val="21"/>
        </w:rPr>
        <w:t>with client</w:t>
      </w:r>
      <w:r>
        <w:rPr>
          <w:rFonts w:ascii="Calibri" w:hAnsi="Calibri"/>
          <w:color w:val="475569"/>
          <w:sz w:val="21"/>
        </w:rPr>
        <w:t xml:space="preserve"> references before </w:t>
      </w:r>
      <w:r w:rsidR="004F59D8">
        <w:rPr>
          <w:rFonts w:ascii="Calibri" w:hAnsi="Calibri"/>
          <w:color w:val="475569"/>
          <w:sz w:val="21"/>
        </w:rPr>
        <w:t>incumbent’s</w:t>
      </w:r>
      <w:r>
        <w:rPr>
          <w:rFonts w:ascii="Calibri" w:hAnsi="Calibri"/>
          <w:color w:val="475569"/>
          <w:sz w:val="21"/>
        </w:rPr>
        <w:t xml:space="preserve"> bolt on similar features</w:t>
      </w:r>
    </w:p>
    <w:p w14:paraId="158E37D6" w14:textId="77777777" w:rsidR="00EB6F44" w:rsidRDefault="00000000">
      <w:pPr>
        <w:spacing w:after="240"/>
      </w:pPr>
      <w:r>
        <w:rPr>
          <w:rFonts w:ascii="Calibri" w:hAnsi="Calibri"/>
          <w:b/>
          <w:color w:val="475569"/>
        </w:rPr>
        <w:t>The advantage is execution advantage, not invention advantage. The team that productizes fastest and proves client value owns the category narrative.</w:t>
      </w:r>
    </w:p>
    <w:p w14:paraId="0C00BB20" w14:textId="77777777" w:rsidR="00EB6F44" w:rsidRDefault="00000000">
      <w:pPr>
        <w:pStyle w:val="Heading1"/>
      </w:pPr>
      <w:r>
        <w:rPr>
          <w:rFonts w:ascii="Calibri" w:hAnsi="Calibri"/>
          <w:color w:val="1A365D"/>
        </w:rPr>
        <w:t>10. Risks to Uniqueness</w:t>
      </w:r>
    </w:p>
    <w:tbl>
      <w:tblPr>
        <w:tblStyle w:val="TableGrid"/>
        <w:tblW w:w="0" w:type="auto"/>
        <w:tblLook w:val="04A0" w:firstRow="1" w:lastRow="0" w:firstColumn="1" w:lastColumn="0" w:noHBand="0" w:noVBand="1"/>
      </w:tblPr>
      <w:tblGrid>
        <w:gridCol w:w="4675"/>
        <w:gridCol w:w="4675"/>
      </w:tblGrid>
      <w:tr w:rsidR="00EB6F44" w14:paraId="563F6EE8" w14:textId="77777777">
        <w:tc>
          <w:tcPr>
            <w:tcW w:w="4680" w:type="dxa"/>
            <w:shd w:val="clear" w:color="auto" w:fill="F8FAFC"/>
          </w:tcPr>
          <w:p w14:paraId="13177ED0" w14:textId="77777777" w:rsidR="00EB6F44" w:rsidRDefault="00000000">
            <w:r>
              <w:rPr>
                <w:rFonts w:ascii="Calibri" w:hAnsi="Calibri"/>
                <w:b/>
                <w:color w:val="1A365D"/>
                <w:sz w:val="20"/>
              </w:rPr>
              <w:t>Risk</w:t>
            </w:r>
          </w:p>
        </w:tc>
        <w:tc>
          <w:tcPr>
            <w:tcW w:w="4680" w:type="dxa"/>
            <w:shd w:val="clear" w:color="auto" w:fill="F8FAFC"/>
          </w:tcPr>
          <w:p w14:paraId="0768B048" w14:textId="77777777" w:rsidR="00EB6F44" w:rsidRDefault="00000000">
            <w:r>
              <w:rPr>
                <w:rFonts w:ascii="Calibri" w:hAnsi="Calibri"/>
                <w:b/>
                <w:color w:val="1A365D"/>
                <w:sz w:val="20"/>
              </w:rPr>
              <w:t>Why it matters</w:t>
            </w:r>
          </w:p>
        </w:tc>
      </w:tr>
      <w:tr w:rsidR="00EB6F44" w14:paraId="3FA84336" w14:textId="77777777">
        <w:tc>
          <w:tcPr>
            <w:tcW w:w="4680" w:type="dxa"/>
          </w:tcPr>
          <w:p w14:paraId="5A8E8F53" w14:textId="77777777" w:rsidR="00EB6F44" w:rsidRDefault="006D4702">
            <w:r>
              <w:rPr>
                <w:rFonts w:ascii="Calibri" w:hAnsi="Calibri"/>
                <w:b/>
                <w:color w:val="1A365D"/>
                <w:sz w:val="20"/>
              </w:rPr>
              <w:t>Integrate AI peer benchmarking</w:t>
            </w:r>
          </w:p>
        </w:tc>
        <w:tc>
          <w:tcPr>
            <w:tcW w:w="4680" w:type="dxa"/>
          </w:tcPr>
          <w:p w14:paraId="2A1D4336" w14:textId="77777777" w:rsidR="00EB6F44" w:rsidRDefault="00000000">
            <w:r>
              <w:rPr>
                <w:rFonts w:ascii="Calibri" w:hAnsi="Calibri"/>
                <w:color w:val="475569"/>
                <w:sz w:val="20"/>
              </w:rPr>
              <w:t>Dashboard vendors can ship similarity features on existing platforms</w:t>
            </w:r>
          </w:p>
        </w:tc>
      </w:tr>
      <w:tr w:rsidR="00EB6F44" w14:paraId="5AA31FB1" w14:textId="77777777">
        <w:tc>
          <w:tcPr>
            <w:tcW w:w="4680" w:type="dxa"/>
            <w:shd w:val="clear" w:color="auto" w:fill="F8FAFC"/>
          </w:tcPr>
          <w:p w14:paraId="35274B3B" w14:textId="77777777" w:rsidR="00EB6F44" w:rsidRDefault="00000000">
            <w:r>
              <w:rPr>
                <w:rFonts w:ascii="Calibri" w:hAnsi="Calibri"/>
                <w:b/>
                <w:color w:val="1A365D"/>
                <w:sz w:val="20"/>
              </w:rPr>
              <w:t>Large retailers build internally</w:t>
            </w:r>
          </w:p>
        </w:tc>
        <w:tc>
          <w:tcPr>
            <w:tcW w:w="4680" w:type="dxa"/>
            <w:shd w:val="clear" w:color="auto" w:fill="F8FAFC"/>
          </w:tcPr>
          <w:p w14:paraId="3F7DDD64" w14:textId="77777777" w:rsidR="00EB6F44" w:rsidRDefault="00000000">
            <w:r>
              <w:rPr>
                <w:rFonts w:ascii="Calibri" w:hAnsi="Calibri"/>
                <w:color w:val="475569"/>
                <w:sz w:val="20"/>
              </w:rPr>
              <w:t>Mature data science teams can replicate core methods</w:t>
            </w:r>
          </w:p>
        </w:tc>
      </w:tr>
      <w:tr w:rsidR="00EB6F44" w14:paraId="573DA0DC" w14:textId="77777777">
        <w:tc>
          <w:tcPr>
            <w:tcW w:w="4680" w:type="dxa"/>
          </w:tcPr>
          <w:p w14:paraId="3F03A563" w14:textId="77777777" w:rsidR="00EB6F44" w:rsidRDefault="00000000">
            <w:r>
              <w:rPr>
                <w:rFonts w:ascii="Calibri" w:hAnsi="Calibri"/>
                <w:b/>
                <w:color w:val="1A365D"/>
                <w:sz w:val="20"/>
              </w:rPr>
              <w:t>Consultancies productize the approach</w:t>
            </w:r>
          </w:p>
        </w:tc>
        <w:tc>
          <w:tcPr>
            <w:tcW w:w="4680" w:type="dxa"/>
          </w:tcPr>
          <w:p w14:paraId="09ECA9E0" w14:textId="77777777" w:rsidR="00EB6F44" w:rsidRDefault="00000000">
            <w:r>
              <w:rPr>
                <w:rFonts w:ascii="Calibri" w:hAnsi="Calibri"/>
                <w:color w:val="475569"/>
                <w:sz w:val="20"/>
              </w:rPr>
              <w:t>Store diagnostics are already a consulting staple</w:t>
            </w:r>
          </w:p>
        </w:tc>
      </w:tr>
      <w:tr w:rsidR="00EB6F44" w14:paraId="61FC4499" w14:textId="77777777">
        <w:tc>
          <w:tcPr>
            <w:tcW w:w="4680" w:type="dxa"/>
            <w:shd w:val="clear" w:color="auto" w:fill="F8FAFC"/>
          </w:tcPr>
          <w:p w14:paraId="7250F162" w14:textId="77777777" w:rsidR="00EB6F44" w:rsidRDefault="00000000">
            <w:r>
              <w:rPr>
                <w:rFonts w:ascii="Calibri" w:hAnsi="Calibri"/>
                <w:b/>
                <w:color w:val="1A365D"/>
                <w:sz w:val="20"/>
              </w:rPr>
              <w:t>AI tooling commoditizes</w:t>
            </w:r>
          </w:p>
        </w:tc>
        <w:tc>
          <w:tcPr>
            <w:tcW w:w="4680" w:type="dxa"/>
            <w:shd w:val="clear" w:color="auto" w:fill="F8FAFC"/>
          </w:tcPr>
          <w:p w14:paraId="26493829" w14:textId="77777777" w:rsidR="00EB6F44" w:rsidRDefault="00000000">
            <w:r>
              <w:rPr>
                <w:rFonts w:ascii="Calibri" w:hAnsi="Calibri"/>
                <w:color w:val="475569"/>
                <w:sz w:val="20"/>
              </w:rPr>
              <w:t>Embeddings and LLMs lower the build barrier for everyone</w:t>
            </w:r>
          </w:p>
        </w:tc>
      </w:tr>
    </w:tbl>
    <w:p w14:paraId="25E09B44" w14:textId="77777777" w:rsidR="00EB6F44" w:rsidRDefault="00EB6F44"/>
    <w:p w14:paraId="34B158F2" w14:textId="77777777" w:rsidR="00A2432C" w:rsidRDefault="00A2432C"/>
    <w:tbl>
      <w:tblPr>
        <w:tblW w:w="0" w:type="auto"/>
        <w:tblLook w:val="04A0" w:firstRow="1" w:lastRow="0" w:firstColumn="1" w:lastColumn="0" w:noHBand="0" w:noVBand="1"/>
      </w:tblPr>
      <w:tblGrid>
        <w:gridCol w:w="9360"/>
      </w:tblGrid>
      <w:tr w:rsidR="00EB6F44" w14:paraId="22C711B2" w14:textId="77777777">
        <w:tc>
          <w:tcPr>
            <w:tcW w:w="9360" w:type="dxa"/>
            <w:shd w:val="clear" w:color="auto" w:fill="E8F4F6"/>
          </w:tcPr>
          <w:p w14:paraId="12ADFC35" w14:textId="77777777" w:rsidR="00EB6F44" w:rsidRPr="00A2432C" w:rsidRDefault="00000000">
            <w:pPr>
              <w:spacing w:after="80"/>
              <w:rPr>
                <w:bCs/>
              </w:rPr>
            </w:pPr>
            <w:r w:rsidRPr="00A2432C">
              <w:rPr>
                <w:rFonts w:ascii="Calibri" w:hAnsi="Calibri"/>
                <w:bCs/>
                <w:color w:val="0E7C86"/>
                <w:sz w:val="18"/>
              </w:rPr>
              <w:lastRenderedPageBreak/>
              <w:t>IMPLICATION</w:t>
            </w:r>
          </w:p>
          <w:p w14:paraId="37B12AE3" w14:textId="77777777" w:rsidR="00EB6F44" w:rsidRDefault="00000000">
            <w:pPr>
              <w:spacing w:after="0"/>
            </w:pPr>
            <w:r w:rsidRPr="00A2432C">
              <w:rPr>
                <w:rFonts w:ascii="Calibri" w:hAnsi="Calibri"/>
                <w:bCs/>
                <w:color w:val="475569"/>
                <w:sz w:val="21"/>
              </w:rPr>
              <w:t>Defensibility must come from retail-specific methodology, recommendation quality, and delivery speed — not from the embedding technique alone.</w:t>
            </w:r>
          </w:p>
        </w:tc>
      </w:tr>
    </w:tbl>
    <w:p w14:paraId="49FE9B3A" w14:textId="77777777" w:rsidR="00EB6F44" w:rsidRDefault="00EB6F44"/>
    <w:p w14:paraId="4795D770" w14:textId="77777777" w:rsidR="00EB6F44" w:rsidRPr="008A618F" w:rsidRDefault="00000000">
      <w:pPr>
        <w:pStyle w:val="Heading1"/>
        <w:rPr>
          <w:color w:val="00B050"/>
          <w:sz w:val="40"/>
          <w:szCs w:val="40"/>
        </w:rPr>
      </w:pPr>
      <w:r w:rsidRPr="008A618F">
        <w:rPr>
          <w:rFonts w:ascii="Calibri" w:hAnsi="Calibri"/>
          <w:color w:val="00B050"/>
          <w:sz w:val="40"/>
          <w:szCs w:val="40"/>
        </w:rPr>
        <w:t>12. Evaluation Focus 3 — Scalability</w:t>
      </w:r>
    </w:p>
    <w:tbl>
      <w:tblPr>
        <w:tblStyle w:val="TableGrid"/>
        <w:tblW w:w="0" w:type="auto"/>
        <w:tblLook w:val="04A0" w:firstRow="1" w:lastRow="0" w:firstColumn="1" w:lastColumn="0" w:noHBand="0" w:noVBand="1"/>
      </w:tblPr>
      <w:tblGrid>
        <w:gridCol w:w="4675"/>
        <w:gridCol w:w="4675"/>
      </w:tblGrid>
      <w:tr w:rsidR="00EB6F44" w14:paraId="688D2E75" w14:textId="77777777">
        <w:tc>
          <w:tcPr>
            <w:tcW w:w="4680" w:type="dxa"/>
            <w:shd w:val="clear" w:color="auto" w:fill="1A365D"/>
          </w:tcPr>
          <w:p w14:paraId="5A76B595" w14:textId="77777777" w:rsidR="00EB6F44" w:rsidRDefault="00000000">
            <w:r>
              <w:rPr>
                <w:rFonts w:ascii="Calibri" w:hAnsi="Calibri"/>
                <w:b/>
                <w:color w:val="FFFFFF"/>
                <w:sz w:val="20"/>
              </w:rPr>
              <w:t>Question under review</w:t>
            </w:r>
          </w:p>
        </w:tc>
        <w:tc>
          <w:tcPr>
            <w:tcW w:w="4680" w:type="dxa"/>
            <w:shd w:val="clear" w:color="auto" w:fill="1A365D"/>
          </w:tcPr>
          <w:p w14:paraId="1721036D" w14:textId="77777777" w:rsidR="00EB6F44" w:rsidRDefault="00000000">
            <w:r>
              <w:rPr>
                <w:rFonts w:ascii="Calibri" w:hAnsi="Calibri"/>
                <w:b/>
                <w:color w:val="FFFFFF"/>
                <w:sz w:val="20"/>
              </w:rPr>
              <w:t>Assessment</w:t>
            </w:r>
          </w:p>
        </w:tc>
      </w:tr>
      <w:tr w:rsidR="00EB6F44" w14:paraId="6EE2DAE6" w14:textId="77777777">
        <w:tc>
          <w:tcPr>
            <w:tcW w:w="4680" w:type="dxa"/>
          </w:tcPr>
          <w:p w14:paraId="0B3C31BF" w14:textId="77777777" w:rsidR="00EB6F44" w:rsidRPr="00A2432C" w:rsidRDefault="00A2432C">
            <w:pPr>
              <w:rPr>
                <w:rFonts w:ascii="Calibri" w:hAnsi="Calibri"/>
                <w:color w:val="475569"/>
                <w:sz w:val="20"/>
                <w:lang w:val="en-IN"/>
              </w:rPr>
            </w:pPr>
            <w:r w:rsidRPr="00A2432C">
              <w:rPr>
                <w:rFonts w:ascii="Calibri" w:hAnsi="Calibri"/>
                <w:color w:val="475569"/>
                <w:sz w:val="20"/>
                <w:lang w:val="en-IN"/>
              </w:rPr>
              <w:t>How scalable will be the solution, effort to make it production ready?</w:t>
            </w:r>
          </w:p>
        </w:tc>
        <w:tc>
          <w:tcPr>
            <w:tcW w:w="4680" w:type="dxa"/>
          </w:tcPr>
          <w:p w14:paraId="1F4D2DCD" w14:textId="77777777" w:rsidR="00EB6F44" w:rsidRDefault="00000000">
            <w:r>
              <w:rPr>
                <w:rFonts w:ascii="Calibri" w:hAnsi="Calibri"/>
                <w:b/>
                <w:color w:val="0E7C86"/>
              </w:rPr>
              <w:t>Conceptually scalable across large store networks — but the problem itself is multimodal and integration-heavy; production readiness demands substantial platform effort.</w:t>
            </w:r>
          </w:p>
        </w:tc>
      </w:tr>
    </w:tbl>
    <w:p w14:paraId="0FF4AA0F" w14:textId="77777777" w:rsidR="00EB6F44" w:rsidRDefault="00EB6F44" w:rsidP="00FA633B">
      <w:pPr>
        <w:spacing w:after="0"/>
      </w:pPr>
    </w:p>
    <w:tbl>
      <w:tblPr>
        <w:tblW w:w="0" w:type="auto"/>
        <w:tblLook w:val="04A0" w:firstRow="1" w:lastRow="0" w:firstColumn="1" w:lastColumn="0" w:noHBand="0" w:noVBand="1"/>
      </w:tblPr>
      <w:tblGrid>
        <w:gridCol w:w="9360"/>
      </w:tblGrid>
      <w:tr w:rsidR="00EB6F44" w14:paraId="48F1C717" w14:textId="77777777" w:rsidTr="00A2432C">
        <w:tc>
          <w:tcPr>
            <w:tcW w:w="9360" w:type="dxa"/>
            <w:shd w:val="clear" w:color="auto" w:fill="FFFFFF" w:themeFill="background1"/>
          </w:tcPr>
          <w:p w14:paraId="382CC8B5" w14:textId="77777777" w:rsidR="00EB6F44" w:rsidRPr="00A2432C" w:rsidRDefault="00000000" w:rsidP="00FA633B">
            <w:pPr>
              <w:spacing w:after="0"/>
              <w:rPr>
                <w:b/>
                <w:color w:val="1F497D" w:themeColor="text2"/>
              </w:rPr>
            </w:pPr>
            <w:r w:rsidRPr="00A2432C">
              <w:rPr>
                <w:rFonts w:ascii="Calibri" w:hAnsi="Calibri"/>
                <w:b/>
                <w:color w:val="1F497D" w:themeColor="text2"/>
                <w:sz w:val="28"/>
              </w:rPr>
              <w:t xml:space="preserve">Scales with the network — complexity </w:t>
            </w:r>
            <w:r w:rsidR="00A2432C" w:rsidRPr="00A2432C">
              <w:rPr>
                <w:rFonts w:ascii="Calibri" w:hAnsi="Calibri"/>
                <w:b/>
                <w:color w:val="1F497D" w:themeColor="text2"/>
                <w:sz w:val="28"/>
              </w:rPr>
              <w:t>grow</w:t>
            </w:r>
            <w:r w:rsidRPr="00A2432C">
              <w:rPr>
                <w:rFonts w:ascii="Calibri" w:hAnsi="Calibri"/>
                <w:b/>
                <w:color w:val="1F497D" w:themeColor="text2"/>
                <w:sz w:val="28"/>
              </w:rPr>
              <w:t xml:space="preserve"> with the data</w:t>
            </w:r>
          </w:p>
          <w:p w14:paraId="291C97A1" w14:textId="77777777" w:rsidR="00EB6F44" w:rsidRDefault="00000000" w:rsidP="00FA633B">
            <w:pPr>
              <w:spacing w:after="0"/>
            </w:pPr>
            <w:r w:rsidRPr="00A2432C">
              <w:rPr>
                <w:rFonts w:ascii="Calibri" w:hAnsi="Calibri"/>
                <w:b/>
                <w:color w:val="1F497D" w:themeColor="text2"/>
                <w:sz w:val="20"/>
              </w:rPr>
              <w:t xml:space="preserve">StoreDNA can serve thousands of locations, but success depends on disciplined data fusion, controlled AI cost, and a serving layer business users can </w:t>
            </w:r>
            <w:r w:rsidR="00A2432C" w:rsidRPr="00A2432C">
              <w:rPr>
                <w:rFonts w:ascii="Calibri" w:hAnsi="Calibri"/>
                <w:b/>
                <w:color w:val="1F497D" w:themeColor="text2"/>
                <w:sz w:val="20"/>
              </w:rPr>
              <w:t>adopt</w:t>
            </w:r>
            <w:r w:rsidRPr="00A2432C">
              <w:rPr>
                <w:rFonts w:ascii="Calibri" w:hAnsi="Calibri"/>
                <w:b/>
                <w:color w:val="1F497D" w:themeColor="text2"/>
                <w:sz w:val="20"/>
              </w:rPr>
              <w:t>.</w:t>
            </w:r>
          </w:p>
        </w:tc>
      </w:tr>
    </w:tbl>
    <w:p w14:paraId="7E6FA1C2" w14:textId="77777777" w:rsidR="00EB6F44" w:rsidRDefault="00000000">
      <w:pPr>
        <w:pStyle w:val="Heading1"/>
      </w:pPr>
      <w:r>
        <w:rPr>
          <w:rFonts w:ascii="Calibri" w:hAnsi="Calibri"/>
          <w:color w:val="1A365D"/>
        </w:rPr>
        <w:t>13. What Scalability Means for This Problem</w:t>
      </w:r>
    </w:p>
    <w:p w14:paraId="1B9D789A" w14:textId="77777777" w:rsidR="00EB6F44" w:rsidRDefault="00000000">
      <w:r>
        <w:rPr>
          <w:rFonts w:ascii="Calibri" w:hAnsi="Calibri"/>
          <w:color w:val="475569"/>
        </w:rPr>
        <w:t>StoreDNA is not a single-model problem. It requires ingesting diverse store-level signals, building a comparable fingerprint per location, running similarity and clustering at network scale, and translating results into recommendations non-technical leaders can use.</w:t>
      </w:r>
    </w:p>
    <w:tbl>
      <w:tblPr>
        <w:tblStyle w:val="TableGrid"/>
        <w:tblW w:w="0" w:type="auto"/>
        <w:tblLook w:val="04A0" w:firstRow="1" w:lastRow="0" w:firstColumn="1" w:lastColumn="0" w:noHBand="0" w:noVBand="1"/>
      </w:tblPr>
      <w:tblGrid>
        <w:gridCol w:w="4675"/>
        <w:gridCol w:w="4675"/>
      </w:tblGrid>
      <w:tr w:rsidR="00EB6F44" w14:paraId="0360E572" w14:textId="77777777">
        <w:tc>
          <w:tcPr>
            <w:tcW w:w="4680" w:type="dxa"/>
            <w:shd w:val="clear" w:color="auto" w:fill="0E7C86"/>
          </w:tcPr>
          <w:p w14:paraId="03287FCB" w14:textId="77777777" w:rsidR="00EB6F44" w:rsidRDefault="00000000">
            <w:r>
              <w:rPr>
                <w:rFonts w:ascii="Calibri" w:hAnsi="Calibri"/>
                <w:b/>
                <w:color w:val="FFFFFF"/>
                <w:sz w:val="20"/>
              </w:rPr>
              <w:t>Problem requirement</w:t>
            </w:r>
          </w:p>
        </w:tc>
        <w:tc>
          <w:tcPr>
            <w:tcW w:w="4680" w:type="dxa"/>
            <w:shd w:val="clear" w:color="auto" w:fill="0E7C86"/>
          </w:tcPr>
          <w:p w14:paraId="43BB4C0A" w14:textId="77777777" w:rsidR="00EB6F44" w:rsidRDefault="00000000">
            <w:r>
              <w:rPr>
                <w:rFonts w:ascii="Calibri" w:hAnsi="Calibri"/>
                <w:b/>
                <w:color w:val="FFFFFF"/>
                <w:sz w:val="20"/>
              </w:rPr>
              <w:t>Scalability implication</w:t>
            </w:r>
          </w:p>
        </w:tc>
      </w:tr>
      <w:tr w:rsidR="00EB6F44" w14:paraId="22398002" w14:textId="77777777">
        <w:tc>
          <w:tcPr>
            <w:tcW w:w="4680" w:type="dxa"/>
          </w:tcPr>
          <w:p w14:paraId="374EE74F" w14:textId="77777777" w:rsidR="00EB6F44" w:rsidRDefault="00000000">
            <w:r>
              <w:rPr>
                <w:rFonts w:ascii="Calibri" w:hAnsi="Calibri"/>
                <w:b/>
                <w:color w:val="1A365D"/>
                <w:sz w:val="20"/>
              </w:rPr>
              <w:t>All store-level data — internal and external</w:t>
            </w:r>
          </w:p>
        </w:tc>
        <w:tc>
          <w:tcPr>
            <w:tcW w:w="4680" w:type="dxa"/>
          </w:tcPr>
          <w:p w14:paraId="690C9192" w14:textId="77777777" w:rsidR="00EB6F44" w:rsidRDefault="00000000">
            <w:r>
              <w:rPr>
                <w:rFonts w:ascii="Calibri" w:hAnsi="Calibri"/>
                <w:color w:val="475569"/>
                <w:sz w:val="20"/>
              </w:rPr>
              <w:t>Every new data source adds integration, governance, and refresh complexity</w:t>
            </w:r>
          </w:p>
        </w:tc>
      </w:tr>
      <w:tr w:rsidR="00EB6F44" w14:paraId="2AE3EC49" w14:textId="77777777">
        <w:tc>
          <w:tcPr>
            <w:tcW w:w="4680" w:type="dxa"/>
            <w:shd w:val="clear" w:color="auto" w:fill="F8FAFC"/>
          </w:tcPr>
          <w:p w14:paraId="12F08AC5" w14:textId="77777777" w:rsidR="00EB6F44" w:rsidRDefault="00000000">
            <w:r>
              <w:rPr>
                <w:rFonts w:ascii="Calibri" w:hAnsi="Calibri"/>
                <w:b/>
                <w:color w:val="1A365D"/>
                <w:sz w:val="20"/>
              </w:rPr>
              <w:t>Structured and unstructured inputs</w:t>
            </w:r>
          </w:p>
        </w:tc>
        <w:tc>
          <w:tcPr>
            <w:tcW w:w="4680" w:type="dxa"/>
            <w:shd w:val="clear" w:color="auto" w:fill="F8FAFC"/>
          </w:tcPr>
          <w:p w14:paraId="31086A54" w14:textId="77777777" w:rsidR="00EB6F44" w:rsidRDefault="00000000">
            <w:r>
              <w:rPr>
                <w:rFonts w:ascii="Calibri" w:hAnsi="Calibri"/>
                <w:color w:val="475569"/>
                <w:sz w:val="20"/>
              </w:rPr>
              <w:t>Two different processing paths must converge into one store identity</w:t>
            </w:r>
          </w:p>
        </w:tc>
      </w:tr>
      <w:tr w:rsidR="00EB6F44" w14:paraId="3BD3AEF4" w14:textId="77777777">
        <w:tc>
          <w:tcPr>
            <w:tcW w:w="4680" w:type="dxa"/>
          </w:tcPr>
          <w:p w14:paraId="04EC8936" w14:textId="77777777" w:rsidR="00EB6F44" w:rsidRDefault="00000000">
            <w:r>
              <w:rPr>
                <w:rFonts w:ascii="Calibri" w:hAnsi="Calibri"/>
                <w:b/>
                <w:color w:val="1A365D"/>
                <w:sz w:val="20"/>
              </w:rPr>
              <w:t>AI-built store fingerprint</w:t>
            </w:r>
          </w:p>
        </w:tc>
        <w:tc>
          <w:tcPr>
            <w:tcW w:w="4680" w:type="dxa"/>
          </w:tcPr>
          <w:p w14:paraId="0158842F" w14:textId="77777777" w:rsidR="00EB6F44" w:rsidRDefault="00000000">
            <w:r>
              <w:rPr>
                <w:rFonts w:ascii="Calibri" w:hAnsi="Calibri"/>
                <w:color w:val="475569"/>
                <w:sz w:val="20"/>
              </w:rPr>
              <w:t>Compute and model cost grow with stores, signal volume, and update frequency</w:t>
            </w:r>
          </w:p>
        </w:tc>
      </w:tr>
      <w:tr w:rsidR="00EB6F44" w14:paraId="0E6DA2D6" w14:textId="77777777">
        <w:tc>
          <w:tcPr>
            <w:tcW w:w="4680" w:type="dxa"/>
            <w:shd w:val="clear" w:color="auto" w:fill="F8FAFC"/>
          </w:tcPr>
          <w:p w14:paraId="42EBA31A" w14:textId="77777777" w:rsidR="00EB6F44" w:rsidRDefault="00000000">
            <w:r>
              <w:rPr>
                <w:rFonts w:ascii="Calibri" w:hAnsi="Calibri"/>
                <w:b/>
                <w:color w:val="1A365D"/>
                <w:sz w:val="20"/>
              </w:rPr>
              <w:t>Peer, cluster, and growth recommendations</w:t>
            </w:r>
          </w:p>
        </w:tc>
        <w:tc>
          <w:tcPr>
            <w:tcW w:w="4680" w:type="dxa"/>
            <w:shd w:val="clear" w:color="auto" w:fill="F8FAFC"/>
          </w:tcPr>
          <w:p w14:paraId="64DD074B" w14:textId="77777777" w:rsidR="00EB6F44" w:rsidRDefault="00000000">
            <w:r>
              <w:rPr>
                <w:rFonts w:ascii="Calibri" w:hAnsi="Calibri"/>
                <w:color w:val="475569"/>
                <w:sz w:val="20"/>
              </w:rPr>
              <w:t>A serving and explanation layer must exist on top of the fingerprint — not just the model</w:t>
            </w:r>
          </w:p>
        </w:tc>
      </w:tr>
    </w:tbl>
    <w:p w14:paraId="1F0CB660" w14:textId="77777777" w:rsidR="00EB6F44" w:rsidRDefault="00EB6F44"/>
    <w:p w14:paraId="45BD310E" w14:textId="77777777" w:rsidR="00EB6F44" w:rsidRDefault="00000000">
      <w:pPr>
        <w:pStyle w:val="Heading1"/>
      </w:pPr>
      <w:r>
        <w:rPr>
          <w:rFonts w:ascii="Calibri" w:hAnsi="Calibri"/>
          <w:color w:val="1A365D"/>
        </w:rPr>
        <w:t>14. Scalability Assessment</w:t>
      </w:r>
    </w:p>
    <w:p w14:paraId="060FB810" w14:textId="77777777" w:rsidR="00EB6F44" w:rsidRDefault="00EB6F44"/>
    <w:tbl>
      <w:tblPr>
        <w:tblStyle w:val="TableGrid"/>
        <w:tblW w:w="0" w:type="auto"/>
        <w:tblLook w:val="04A0" w:firstRow="1" w:lastRow="0" w:firstColumn="1" w:lastColumn="0" w:noHBand="0" w:noVBand="1"/>
      </w:tblPr>
      <w:tblGrid>
        <w:gridCol w:w="3117"/>
        <w:gridCol w:w="3116"/>
        <w:gridCol w:w="3117"/>
      </w:tblGrid>
      <w:tr w:rsidR="00EB6F44" w14:paraId="5D900471" w14:textId="77777777">
        <w:tc>
          <w:tcPr>
            <w:tcW w:w="3120" w:type="dxa"/>
            <w:shd w:val="clear" w:color="auto" w:fill="1A365D"/>
          </w:tcPr>
          <w:p w14:paraId="2414E65A" w14:textId="77777777" w:rsidR="00EB6F44" w:rsidRDefault="00000000">
            <w:r>
              <w:rPr>
                <w:rFonts w:ascii="Calibri" w:hAnsi="Calibri"/>
                <w:b/>
                <w:color w:val="FFFFFF"/>
                <w:sz w:val="20"/>
              </w:rPr>
              <w:t>Scale dimension</w:t>
            </w:r>
          </w:p>
        </w:tc>
        <w:tc>
          <w:tcPr>
            <w:tcW w:w="3120" w:type="dxa"/>
            <w:shd w:val="clear" w:color="auto" w:fill="1A365D"/>
          </w:tcPr>
          <w:p w14:paraId="50D5C86F" w14:textId="77777777" w:rsidR="00EB6F44" w:rsidRDefault="00000000">
            <w:r>
              <w:rPr>
                <w:rFonts w:ascii="Calibri" w:hAnsi="Calibri"/>
                <w:b/>
                <w:color w:val="FFFFFF"/>
                <w:sz w:val="20"/>
              </w:rPr>
              <w:t>Scalability rating</w:t>
            </w:r>
          </w:p>
        </w:tc>
        <w:tc>
          <w:tcPr>
            <w:tcW w:w="3120" w:type="dxa"/>
            <w:shd w:val="clear" w:color="auto" w:fill="1A365D"/>
          </w:tcPr>
          <w:p w14:paraId="34773DF1" w14:textId="77777777" w:rsidR="00EB6F44" w:rsidRDefault="00000000">
            <w:r>
              <w:rPr>
                <w:rFonts w:ascii="Calibri" w:hAnsi="Calibri"/>
                <w:b/>
                <w:color w:val="FFFFFF"/>
                <w:sz w:val="20"/>
              </w:rPr>
              <w:t>Why</w:t>
            </w:r>
          </w:p>
        </w:tc>
      </w:tr>
      <w:tr w:rsidR="00EB6F44" w14:paraId="762D2FB3" w14:textId="77777777">
        <w:tc>
          <w:tcPr>
            <w:tcW w:w="3120" w:type="dxa"/>
          </w:tcPr>
          <w:p w14:paraId="79073E3C" w14:textId="77777777" w:rsidR="00EB6F44" w:rsidRDefault="00000000">
            <w:r>
              <w:rPr>
                <w:rFonts w:ascii="Calibri" w:hAnsi="Calibri"/>
                <w:b/>
                <w:color w:val="1A365D"/>
                <w:sz w:val="20"/>
              </w:rPr>
              <w:t>Number of stores</w:t>
            </w:r>
          </w:p>
        </w:tc>
        <w:tc>
          <w:tcPr>
            <w:tcW w:w="3120" w:type="dxa"/>
          </w:tcPr>
          <w:p w14:paraId="25EB862D" w14:textId="77777777" w:rsidR="00EB6F44" w:rsidRDefault="00000000">
            <w:r>
              <w:rPr>
                <w:rFonts w:ascii="Calibri" w:hAnsi="Calibri"/>
                <w:color w:val="475569"/>
                <w:sz w:val="20"/>
              </w:rPr>
              <w:t>High</w:t>
            </w:r>
          </w:p>
        </w:tc>
        <w:tc>
          <w:tcPr>
            <w:tcW w:w="3120" w:type="dxa"/>
          </w:tcPr>
          <w:p w14:paraId="578721EC" w14:textId="77777777" w:rsidR="00EB6F44" w:rsidRDefault="00000000">
            <w:r>
              <w:rPr>
                <w:rFonts w:ascii="Calibri" w:hAnsi="Calibri"/>
                <w:color w:val="475569"/>
                <w:sz w:val="20"/>
              </w:rPr>
              <w:t>Store is the natural unit of work; processing can parallelize across the network</w:t>
            </w:r>
          </w:p>
        </w:tc>
      </w:tr>
      <w:tr w:rsidR="00EB6F44" w14:paraId="2EB31A9E" w14:textId="77777777">
        <w:tc>
          <w:tcPr>
            <w:tcW w:w="3120" w:type="dxa"/>
            <w:shd w:val="clear" w:color="auto" w:fill="F8FAFC"/>
          </w:tcPr>
          <w:p w14:paraId="3E8BE57B" w14:textId="77777777" w:rsidR="00EB6F44" w:rsidRDefault="00000000">
            <w:r>
              <w:rPr>
                <w:rFonts w:ascii="Calibri" w:hAnsi="Calibri"/>
                <w:b/>
                <w:color w:val="1A365D"/>
                <w:sz w:val="20"/>
              </w:rPr>
              <w:t>Breadth of data modalities</w:t>
            </w:r>
          </w:p>
        </w:tc>
        <w:tc>
          <w:tcPr>
            <w:tcW w:w="3120" w:type="dxa"/>
            <w:shd w:val="clear" w:color="auto" w:fill="F8FAFC"/>
          </w:tcPr>
          <w:p w14:paraId="17EF787A" w14:textId="77777777" w:rsidR="00EB6F44" w:rsidRDefault="00000000">
            <w:r>
              <w:rPr>
                <w:rFonts w:ascii="Calibri" w:hAnsi="Calibri"/>
                <w:color w:val="475569"/>
                <w:sz w:val="20"/>
              </w:rPr>
              <w:t>Medium</w:t>
            </w:r>
          </w:p>
        </w:tc>
        <w:tc>
          <w:tcPr>
            <w:tcW w:w="3120" w:type="dxa"/>
            <w:shd w:val="clear" w:color="auto" w:fill="F8FAFC"/>
          </w:tcPr>
          <w:p w14:paraId="58ED9D29" w14:textId="77777777" w:rsidR="00EB6F44" w:rsidRDefault="00000000">
            <w:r>
              <w:rPr>
                <w:rFonts w:ascii="Calibri" w:hAnsi="Calibri"/>
                <w:color w:val="475569"/>
                <w:sz w:val="20"/>
              </w:rPr>
              <w:t>Each added signal type increases pipeline complexity and reconciliation effort</w:t>
            </w:r>
          </w:p>
        </w:tc>
      </w:tr>
      <w:tr w:rsidR="00EB6F44" w14:paraId="446E442B" w14:textId="77777777">
        <w:tc>
          <w:tcPr>
            <w:tcW w:w="3120" w:type="dxa"/>
          </w:tcPr>
          <w:p w14:paraId="2810E861" w14:textId="77777777" w:rsidR="00EB6F44" w:rsidRDefault="00000000">
            <w:r>
              <w:rPr>
                <w:rFonts w:ascii="Calibri" w:hAnsi="Calibri"/>
                <w:b/>
                <w:color w:val="1A365D"/>
                <w:sz w:val="20"/>
              </w:rPr>
              <w:t>Refresh frequency</w:t>
            </w:r>
          </w:p>
        </w:tc>
        <w:tc>
          <w:tcPr>
            <w:tcW w:w="3120" w:type="dxa"/>
          </w:tcPr>
          <w:p w14:paraId="2BAFA7EF" w14:textId="77777777" w:rsidR="00EB6F44" w:rsidRDefault="00000000">
            <w:r>
              <w:rPr>
                <w:rFonts w:ascii="Calibri" w:hAnsi="Calibri"/>
                <w:color w:val="475569"/>
                <w:sz w:val="20"/>
              </w:rPr>
              <w:t>Medium</w:t>
            </w:r>
          </w:p>
        </w:tc>
        <w:tc>
          <w:tcPr>
            <w:tcW w:w="3120" w:type="dxa"/>
          </w:tcPr>
          <w:p w14:paraId="0CCA355F" w14:textId="77777777" w:rsidR="00EB6F44" w:rsidRDefault="00000000">
            <w:r>
              <w:rPr>
                <w:rFonts w:ascii="Calibri" w:hAnsi="Calibri"/>
                <w:color w:val="475569"/>
                <w:sz w:val="20"/>
              </w:rPr>
              <w:t>Fingerprints must be re-built as ops, assortment, and customer voice change over time</w:t>
            </w:r>
          </w:p>
        </w:tc>
      </w:tr>
      <w:tr w:rsidR="00EB6F44" w14:paraId="4AF776B6" w14:textId="77777777">
        <w:tc>
          <w:tcPr>
            <w:tcW w:w="3120" w:type="dxa"/>
            <w:shd w:val="clear" w:color="auto" w:fill="F8FAFC"/>
          </w:tcPr>
          <w:p w14:paraId="553A0A79" w14:textId="77777777" w:rsidR="00EB6F44" w:rsidRDefault="00000000">
            <w:r>
              <w:rPr>
                <w:rFonts w:ascii="Calibri" w:hAnsi="Calibri"/>
                <w:b/>
                <w:color w:val="1A365D"/>
                <w:sz w:val="20"/>
              </w:rPr>
              <w:lastRenderedPageBreak/>
              <w:t>Cross-retailer repeatability</w:t>
            </w:r>
          </w:p>
        </w:tc>
        <w:tc>
          <w:tcPr>
            <w:tcW w:w="3120" w:type="dxa"/>
            <w:shd w:val="clear" w:color="auto" w:fill="F8FAFC"/>
          </w:tcPr>
          <w:p w14:paraId="2EB0B088" w14:textId="77777777" w:rsidR="00EB6F44" w:rsidRDefault="00000000">
            <w:r>
              <w:rPr>
                <w:rFonts w:ascii="Calibri" w:hAnsi="Calibri"/>
                <w:color w:val="475569"/>
                <w:sz w:val="20"/>
              </w:rPr>
              <w:t>Medium</w:t>
            </w:r>
          </w:p>
        </w:tc>
        <w:tc>
          <w:tcPr>
            <w:tcW w:w="3120" w:type="dxa"/>
            <w:shd w:val="clear" w:color="auto" w:fill="F8FAFC"/>
          </w:tcPr>
          <w:p w14:paraId="4B710C73" w14:textId="77777777" w:rsidR="00EB6F44" w:rsidRDefault="00000000">
            <w:r>
              <w:rPr>
                <w:rFonts w:ascii="Calibri" w:hAnsi="Calibri"/>
                <w:color w:val="475569"/>
                <w:sz w:val="20"/>
              </w:rPr>
              <w:t>The business logic ports, but data estates and external sources differ by client</w:t>
            </w:r>
          </w:p>
        </w:tc>
      </w:tr>
      <w:tr w:rsidR="00EB6F44" w14:paraId="7887D7C7" w14:textId="77777777">
        <w:tc>
          <w:tcPr>
            <w:tcW w:w="3120" w:type="dxa"/>
          </w:tcPr>
          <w:p w14:paraId="12920347" w14:textId="77777777" w:rsidR="00EB6F44" w:rsidRDefault="00000000">
            <w:r>
              <w:rPr>
                <w:rFonts w:ascii="Calibri" w:hAnsi="Calibri"/>
                <w:b/>
                <w:color w:val="1A365D"/>
                <w:sz w:val="20"/>
              </w:rPr>
              <w:t>Business-user adoption</w:t>
            </w:r>
          </w:p>
        </w:tc>
        <w:tc>
          <w:tcPr>
            <w:tcW w:w="3120" w:type="dxa"/>
          </w:tcPr>
          <w:p w14:paraId="0694887F" w14:textId="77777777" w:rsidR="00EB6F44" w:rsidRDefault="00000000">
            <w:r>
              <w:rPr>
                <w:rFonts w:ascii="Calibri" w:hAnsi="Calibri"/>
                <w:color w:val="475569"/>
                <w:sz w:val="20"/>
              </w:rPr>
              <w:t>Medium–Low</w:t>
            </w:r>
          </w:p>
        </w:tc>
        <w:tc>
          <w:tcPr>
            <w:tcW w:w="3120" w:type="dxa"/>
          </w:tcPr>
          <w:p w14:paraId="0B45317A" w14:textId="77777777" w:rsidR="00EB6F44" w:rsidRDefault="00000000">
            <w:r>
              <w:rPr>
                <w:rFonts w:ascii="Calibri" w:hAnsi="Calibri"/>
                <w:color w:val="475569"/>
                <w:sz w:val="20"/>
              </w:rPr>
              <w:t>Embeddings do not scale to executives; narrative and recommendation layers must scale instead</w:t>
            </w:r>
          </w:p>
        </w:tc>
      </w:tr>
    </w:tbl>
    <w:p w14:paraId="0E6DF1EB" w14:textId="77777777" w:rsidR="00EB6F44" w:rsidRDefault="00EB6F44"/>
    <w:p w14:paraId="2AE68B54" w14:textId="77777777" w:rsidR="00EB6F44" w:rsidRDefault="00000000">
      <w:pPr>
        <w:pStyle w:val="Heading2"/>
      </w:pPr>
      <w:r>
        <w:rPr>
          <w:rFonts w:ascii="Calibri" w:hAnsi="Calibri"/>
          <w:color w:val="0E7C86"/>
        </w:rPr>
        <w:t>What inherently scales well</w:t>
      </w:r>
    </w:p>
    <w:p w14:paraId="697BEFE0" w14:textId="77777777" w:rsidR="00EB6F44" w:rsidRDefault="00000000">
      <w:pPr>
        <w:pStyle w:val="ListBullet"/>
        <w:spacing w:after="80"/>
      </w:pPr>
      <w:r>
        <w:rPr>
          <w:rFonts w:ascii="Calibri" w:hAnsi="Calibri"/>
          <w:color w:val="475569"/>
          <w:sz w:val="21"/>
        </w:rPr>
        <w:t>Store-level parallelism — each location can be profiled and compared independently</w:t>
      </w:r>
    </w:p>
    <w:p w14:paraId="52AE66D3" w14:textId="77777777" w:rsidR="00EB6F44" w:rsidRDefault="00000000">
      <w:pPr>
        <w:pStyle w:val="ListBullet"/>
        <w:spacing w:after="80"/>
      </w:pPr>
      <w:r>
        <w:rPr>
          <w:rFonts w:ascii="Calibri" w:hAnsi="Calibri"/>
          <w:color w:val="475569"/>
          <w:sz w:val="21"/>
        </w:rPr>
        <w:t>Similarity search — once fingerprints exist, peer lookup scales to large networks</w:t>
      </w:r>
    </w:p>
    <w:p w14:paraId="07AB8F90" w14:textId="77777777" w:rsidR="00EB6F44" w:rsidRDefault="00000000">
      <w:pPr>
        <w:pStyle w:val="ListBullet"/>
        <w:spacing w:after="80"/>
      </w:pPr>
      <w:r>
        <w:rPr>
          <w:rFonts w:ascii="Calibri" w:hAnsi="Calibri"/>
          <w:color w:val="475569"/>
          <w:sz w:val="21"/>
        </w:rPr>
        <w:t>Cloud AI services — embeddings and language models are elastic and batch-friendly</w:t>
      </w:r>
    </w:p>
    <w:p w14:paraId="5BAF31CC" w14:textId="77777777" w:rsidR="00EB6F44" w:rsidRDefault="00000000">
      <w:pPr>
        <w:pStyle w:val="ListBullet"/>
        <w:spacing w:after="80"/>
      </w:pPr>
      <w:r>
        <w:rPr>
          <w:rFonts w:ascii="Calibri" w:hAnsi="Calibri"/>
          <w:color w:val="475569"/>
          <w:sz w:val="21"/>
        </w:rPr>
        <w:t>Modular signal design — new data types can extend the fingerprint without redefining the concept</w:t>
      </w:r>
    </w:p>
    <w:p w14:paraId="6B163892" w14:textId="77777777" w:rsidR="00EB6F44" w:rsidRDefault="00000000">
      <w:pPr>
        <w:pStyle w:val="Heading2"/>
      </w:pPr>
      <w:r>
        <w:rPr>
          <w:rFonts w:ascii="Calibri" w:hAnsi="Calibri"/>
          <w:color w:val="0E7C86"/>
        </w:rPr>
        <w:t>What becomes harder at scale</w:t>
      </w:r>
    </w:p>
    <w:p w14:paraId="4E853498" w14:textId="77777777" w:rsidR="00EB6F44" w:rsidRDefault="00000000">
      <w:pPr>
        <w:pStyle w:val="ListBullet"/>
        <w:spacing w:after="80"/>
      </w:pPr>
      <w:r>
        <w:rPr>
          <w:rFonts w:ascii="Calibri" w:hAnsi="Calibri"/>
          <w:color w:val="475569"/>
          <w:sz w:val="21"/>
        </w:rPr>
        <w:t>Unifying structured metrics with unstructured text and external context</w:t>
      </w:r>
    </w:p>
    <w:p w14:paraId="673F9949" w14:textId="77777777" w:rsidR="00EB6F44" w:rsidRDefault="00000000">
      <w:pPr>
        <w:pStyle w:val="ListBullet"/>
        <w:spacing w:after="80"/>
      </w:pPr>
      <w:r>
        <w:rPr>
          <w:rFonts w:ascii="Calibri" w:hAnsi="Calibri"/>
          <w:color w:val="475569"/>
          <w:sz w:val="21"/>
        </w:rPr>
        <w:t>Keeping fingerprints current as store conditions, reviews, and local markets shift</w:t>
      </w:r>
    </w:p>
    <w:p w14:paraId="0DE87F35" w14:textId="77777777" w:rsidR="00EB6F44" w:rsidRDefault="00000000">
      <w:pPr>
        <w:pStyle w:val="ListBullet"/>
        <w:spacing w:after="80"/>
      </w:pPr>
      <w:r>
        <w:rPr>
          <w:rFonts w:ascii="Calibri" w:hAnsi="Calibri"/>
          <w:color w:val="475569"/>
          <w:sz w:val="21"/>
        </w:rPr>
        <w:t>Controlling AI cost as store count, modalities, and refresh cadence increase</w:t>
      </w:r>
    </w:p>
    <w:p w14:paraId="2B64C722" w14:textId="77777777" w:rsidR="00EB6F44" w:rsidRDefault="00000000">
      <w:pPr>
        <w:pStyle w:val="ListBullet"/>
        <w:spacing w:after="80"/>
      </w:pPr>
      <w:r>
        <w:rPr>
          <w:rFonts w:ascii="Calibri" w:hAnsi="Calibri"/>
          <w:color w:val="475569"/>
          <w:sz w:val="21"/>
        </w:rPr>
        <w:t>Converting technical similarity into trusted, actionable business recommendations</w:t>
      </w:r>
    </w:p>
    <w:p w14:paraId="543823A4" w14:textId="77777777" w:rsidR="00EB6F44" w:rsidRDefault="00000000">
      <w:pPr>
        <w:pStyle w:val="ListBullet"/>
        <w:spacing w:after="80"/>
      </w:pPr>
      <w:r>
        <w:rPr>
          <w:rFonts w:ascii="Calibri" w:hAnsi="Calibri"/>
          <w:color w:val="475569"/>
          <w:sz w:val="21"/>
        </w:rPr>
        <w:t>Meeting enterprise expectations for security, privacy, auditability, and data rights</w:t>
      </w:r>
    </w:p>
    <w:p w14:paraId="08BC1E94" w14:textId="77777777" w:rsidR="00EB6F44" w:rsidRDefault="00000000">
      <w:pPr>
        <w:pStyle w:val="Heading1"/>
      </w:pPr>
      <w:r>
        <w:rPr>
          <w:rFonts w:ascii="Calibri" w:hAnsi="Calibri"/>
          <w:color w:val="1A365D"/>
        </w:rPr>
        <w:t>15. Production Readiness — Inherent Effort</w:t>
      </w:r>
    </w:p>
    <w:p w14:paraId="33EDB8A2" w14:textId="77777777" w:rsidR="00EB6F44" w:rsidRDefault="00000000">
      <w:r>
        <w:rPr>
          <w:rFonts w:ascii="Calibri" w:hAnsi="Calibri"/>
          <w:color w:val="475569"/>
        </w:rPr>
        <w:t>Making StoreDNA production-ready is not a model-only exercise. The problem statement itself implies a full platform spanning data, AI, search, and business output.</w:t>
      </w:r>
    </w:p>
    <w:tbl>
      <w:tblPr>
        <w:tblStyle w:val="TableGrid"/>
        <w:tblW w:w="0" w:type="auto"/>
        <w:tblLook w:val="04A0" w:firstRow="1" w:lastRow="0" w:firstColumn="1" w:lastColumn="0" w:noHBand="0" w:noVBand="1"/>
      </w:tblPr>
      <w:tblGrid>
        <w:gridCol w:w="4675"/>
        <w:gridCol w:w="4675"/>
      </w:tblGrid>
      <w:tr w:rsidR="00EB6F44" w14:paraId="3A737846" w14:textId="77777777">
        <w:tc>
          <w:tcPr>
            <w:tcW w:w="4680" w:type="dxa"/>
            <w:shd w:val="clear" w:color="auto" w:fill="0E7C86"/>
          </w:tcPr>
          <w:p w14:paraId="41D0E06A" w14:textId="77777777" w:rsidR="00EB6F44" w:rsidRDefault="00000000">
            <w:r>
              <w:rPr>
                <w:rFonts w:ascii="Calibri" w:hAnsi="Calibri"/>
                <w:b/>
                <w:color w:val="FFFFFF"/>
                <w:sz w:val="20"/>
              </w:rPr>
              <w:t>Capability layer</w:t>
            </w:r>
          </w:p>
        </w:tc>
        <w:tc>
          <w:tcPr>
            <w:tcW w:w="4680" w:type="dxa"/>
            <w:shd w:val="clear" w:color="auto" w:fill="0E7C86"/>
          </w:tcPr>
          <w:p w14:paraId="053E19E1" w14:textId="77777777" w:rsidR="00EB6F44" w:rsidRDefault="00000000">
            <w:r>
              <w:rPr>
                <w:rFonts w:ascii="Calibri" w:hAnsi="Calibri"/>
                <w:b/>
                <w:color w:val="FFFFFF"/>
                <w:sz w:val="20"/>
              </w:rPr>
              <w:t>Why it is required for production</w:t>
            </w:r>
          </w:p>
        </w:tc>
      </w:tr>
      <w:tr w:rsidR="00EB6F44" w14:paraId="1A557F42" w14:textId="77777777">
        <w:tc>
          <w:tcPr>
            <w:tcW w:w="4680" w:type="dxa"/>
          </w:tcPr>
          <w:p w14:paraId="7AD9DD5C" w14:textId="77777777" w:rsidR="00EB6F44" w:rsidRDefault="00000000">
            <w:r>
              <w:rPr>
                <w:rFonts w:ascii="Calibri" w:hAnsi="Calibri"/>
                <w:b/>
                <w:color w:val="1A365D"/>
                <w:sz w:val="20"/>
              </w:rPr>
              <w:t>Data ingestion &amp; harmonization</w:t>
            </w:r>
          </w:p>
        </w:tc>
        <w:tc>
          <w:tcPr>
            <w:tcW w:w="4680" w:type="dxa"/>
          </w:tcPr>
          <w:p w14:paraId="130DFAA6" w14:textId="77777777" w:rsidR="00EB6F44" w:rsidRDefault="00000000">
            <w:r>
              <w:rPr>
                <w:rFonts w:ascii="Calibri" w:hAnsi="Calibri"/>
                <w:color w:val="475569"/>
                <w:sz w:val="20"/>
              </w:rPr>
              <w:t>Bring internal and external store signals into one governed store-level model</w:t>
            </w:r>
          </w:p>
        </w:tc>
      </w:tr>
      <w:tr w:rsidR="00EB6F44" w14:paraId="368EFD73" w14:textId="77777777">
        <w:tc>
          <w:tcPr>
            <w:tcW w:w="4680" w:type="dxa"/>
            <w:shd w:val="clear" w:color="auto" w:fill="F8FAFC"/>
          </w:tcPr>
          <w:p w14:paraId="5CFFCF5B" w14:textId="77777777" w:rsidR="00EB6F44" w:rsidRDefault="00000000">
            <w:r>
              <w:rPr>
                <w:rFonts w:ascii="Calibri" w:hAnsi="Calibri"/>
                <w:b/>
                <w:color w:val="1A365D"/>
                <w:sz w:val="20"/>
              </w:rPr>
              <w:t>Feature &amp; fingerprint generation</w:t>
            </w:r>
          </w:p>
        </w:tc>
        <w:tc>
          <w:tcPr>
            <w:tcW w:w="4680" w:type="dxa"/>
            <w:shd w:val="clear" w:color="auto" w:fill="F8FAFC"/>
          </w:tcPr>
          <w:p w14:paraId="5CC2C1BB" w14:textId="77777777" w:rsidR="00EB6F44" w:rsidRDefault="00000000">
            <w:r>
              <w:rPr>
                <w:rFonts w:ascii="Calibri" w:hAnsi="Calibri"/>
                <w:color w:val="475569"/>
                <w:sz w:val="20"/>
              </w:rPr>
              <w:t>Build and refresh embeddings that represent each store's DNA</w:t>
            </w:r>
          </w:p>
        </w:tc>
      </w:tr>
      <w:tr w:rsidR="00EB6F44" w14:paraId="5953AD4A" w14:textId="77777777">
        <w:tc>
          <w:tcPr>
            <w:tcW w:w="4680" w:type="dxa"/>
          </w:tcPr>
          <w:p w14:paraId="269DE871" w14:textId="77777777" w:rsidR="00EB6F44" w:rsidRDefault="00000000">
            <w:r>
              <w:rPr>
                <w:rFonts w:ascii="Calibri" w:hAnsi="Calibri"/>
                <w:b/>
                <w:color w:val="1A365D"/>
                <w:sz w:val="20"/>
              </w:rPr>
              <w:t>Similarity &amp; clustering engine</w:t>
            </w:r>
          </w:p>
        </w:tc>
        <w:tc>
          <w:tcPr>
            <w:tcW w:w="4680" w:type="dxa"/>
          </w:tcPr>
          <w:p w14:paraId="12EAEB5B" w14:textId="77777777" w:rsidR="00EB6F44" w:rsidRDefault="00000000">
            <w:r>
              <w:rPr>
                <w:rFonts w:ascii="Calibri" w:hAnsi="Calibri"/>
                <w:color w:val="475569"/>
                <w:sz w:val="20"/>
              </w:rPr>
              <w:t>Support peer identification and store archetyping across the network</w:t>
            </w:r>
          </w:p>
        </w:tc>
      </w:tr>
      <w:tr w:rsidR="00EB6F44" w14:paraId="1BC3590D" w14:textId="77777777">
        <w:tc>
          <w:tcPr>
            <w:tcW w:w="4680" w:type="dxa"/>
            <w:shd w:val="clear" w:color="auto" w:fill="F8FAFC"/>
          </w:tcPr>
          <w:p w14:paraId="7A2BE8AA" w14:textId="77777777" w:rsidR="00EB6F44" w:rsidRDefault="00000000">
            <w:r>
              <w:rPr>
                <w:rFonts w:ascii="Calibri" w:hAnsi="Calibri"/>
                <w:b/>
                <w:color w:val="1A365D"/>
                <w:sz w:val="20"/>
              </w:rPr>
              <w:t>Recommendation &amp; narrative layer</w:t>
            </w:r>
          </w:p>
        </w:tc>
        <w:tc>
          <w:tcPr>
            <w:tcW w:w="4680" w:type="dxa"/>
            <w:shd w:val="clear" w:color="auto" w:fill="F8FAFC"/>
          </w:tcPr>
          <w:p w14:paraId="0189BA79" w14:textId="77777777" w:rsidR="00EB6F44" w:rsidRDefault="00000000">
            <w:r>
              <w:rPr>
                <w:rFonts w:ascii="Calibri" w:hAnsi="Calibri"/>
                <w:color w:val="475569"/>
                <w:sz w:val="20"/>
              </w:rPr>
              <w:t>Translate vectors into improvement areas and growth opportunities leaders understand</w:t>
            </w:r>
          </w:p>
        </w:tc>
      </w:tr>
      <w:tr w:rsidR="00EB6F44" w14:paraId="06C70DFD" w14:textId="77777777">
        <w:tc>
          <w:tcPr>
            <w:tcW w:w="4680" w:type="dxa"/>
          </w:tcPr>
          <w:p w14:paraId="303BF7D4" w14:textId="77777777" w:rsidR="00EB6F44" w:rsidRDefault="00000000">
            <w:r>
              <w:rPr>
                <w:rFonts w:ascii="Calibri" w:hAnsi="Calibri"/>
                <w:b/>
                <w:color w:val="1A365D"/>
                <w:sz w:val="20"/>
              </w:rPr>
              <w:t>User-facing experience</w:t>
            </w:r>
          </w:p>
        </w:tc>
        <w:tc>
          <w:tcPr>
            <w:tcW w:w="4680" w:type="dxa"/>
          </w:tcPr>
          <w:p w14:paraId="079F5686" w14:textId="77777777" w:rsidR="00EB6F44" w:rsidRDefault="00000000">
            <w:r>
              <w:rPr>
                <w:rFonts w:ascii="Calibri" w:hAnsi="Calibri"/>
                <w:color w:val="475569"/>
                <w:sz w:val="20"/>
              </w:rPr>
              <w:t>Deliver peers, clusters, and actions through apps, workflows, or integrated retail tools</w:t>
            </w:r>
          </w:p>
        </w:tc>
      </w:tr>
    </w:tbl>
    <w:p w14:paraId="1D7060B1" w14:textId="77777777" w:rsidR="00EB6F44" w:rsidRDefault="00EB6F44"/>
    <w:p w14:paraId="7B3A23DA" w14:textId="77777777" w:rsidR="00EB6F44" w:rsidRDefault="00000000">
      <w:pPr>
        <w:pStyle w:val="Heading2"/>
      </w:pPr>
      <w:r>
        <w:rPr>
          <w:rFonts w:ascii="Calibri" w:hAnsi="Calibri"/>
          <w:color w:val="0E7C86"/>
        </w:rPr>
        <w:t>Indicative effort by ambition level</w:t>
      </w:r>
    </w:p>
    <w:tbl>
      <w:tblPr>
        <w:tblStyle w:val="TableGrid"/>
        <w:tblW w:w="0" w:type="auto"/>
        <w:tblLook w:val="04A0" w:firstRow="1" w:lastRow="0" w:firstColumn="1" w:lastColumn="0" w:noHBand="0" w:noVBand="1"/>
      </w:tblPr>
      <w:tblGrid>
        <w:gridCol w:w="2337"/>
        <w:gridCol w:w="2338"/>
        <w:gridCol w:w="2337"/>
        <w:gridCol w:w="2338"/>
      </w:tblGrid>
      <w:tr w:rsidR="00EB6F44" w14:paraId="79BBD19A" w14:textId="77777777">
        <w:tc>
          <w:tcPr>
            <w:tcW w:w="2340" w:type="dxa"/>
            <w:shd w:val="clear" w:color="auto" w:fill="1A365D"/>
          </w:tcPr>
          <w:p w14:paraId="007E5793" w14:textId="77777777" w:rsidR="00EB6F44" w:rsidRDefault="00000000">
            <w:r>
              <w:rPr>
                <w:rFonts w:ascii="Calibri" w:hAnsi="Calibri"/>
                <w:b/>
                <w:color w:val="FFFFFF"/>
                <w:sz w:val="18"/>
              </w:rPr>
              <w:t>Ambition level</w:t>
            </w:r>
          </w:p>
        </w:tc>
        <w:tc>
          <w:tcPr>
            <w:tcW w:w="2340" w:type="dxa"/>
            <w:shd w:val="clear" w:color="auto" w:fill="1A365D"/>
          </w:tcPr>
          <w:p w14:paraId="09F25788" w14:textId="77777777" w:rsidR="00EB6F44" w:rsidRDefault="00000000">
            <w:r>
              <w:rPr>
                <w:rFonts w:ascii="Calibri" w:hAnsi="Calibri"/>
                <w:b/>
                <w:color w:val="FFFFFF"/>
                <w:sz w:val="18"/>
              </w:rPr>
              <w:t>What production means</w:t>
            </w:r>
          </w:p>
        </w:tc>
        <w:tc>
          <w:tcPr>
            <w:tcW w:w="2340" w:type="dxa"/>
            <w:shd w:val="clear" w:color="auto" w:fill="1A365D"/>
          </w:tcPr>
          <w:p w14:paraId="3114A791" w14:textId="77777777" w:rsidR="00EB6F44" w:rsidRDefault="00000000">
            <w:r>
              <w:rPr>
                <w:rFonts w:ascii="Calibri" w:hAnsi="Calibri"/>
                <w:b/>
                <w:color w:val="FFFFFF"/>
                <w:sz w:val="18"/>
              </w:rPr>
              <w:t>Relative effort</w:t>
            </w:r>
          </w:p>
        </w:tc>
        <w:tc>
          <w:tcPr>
            <w:tcW w:w="2340" w:type="dxa"/>
            <w:shd w:val="clear" w:color="auto" w:fill="1A365D"/>
          </w:tcPr>
          <w:p w14:paraId="006D3CA2" w14:textId="77777777" w:rsidR="00EB6F44" w:rsidRDefault="00000000">
            <w:r>
              <w:rPr>
                <w:rFonts w:ascii="Calibri" w:hAnsi="Calibri"/>
                <w:b/>
                <w:color w:val="FFFFFF"/>
                <w:sz w:val="18"/>
              </w:rPr>
              <w:t>Typical driver</w:t>
            </w:r>
          </w:p>
        </w:tc>
      </w:tr>
      <w:tr w:rsidR="00EB6F44" w14:paraId="6150AD51" w14:textId="77777777">
        <w:tc>
          <w:tcPr>
            <w:tcW w:w="2340" w:type="dxa"/>
          </w:tcPr>
          <w:p w14:paraId="3564F2BA" w14:textId="77777777" w:rsidR="00EB6F44" w:rsidRDefault="00000000">
            <w:r>
              <w:rPr>
                <w:rFonts w:ascii="Calibri" w:hAnsi="Calibri"/>
                <w:b/>
                <w:color w:val="1A365D"/>
                <w:sz w:val="19"/>
              </w:rPr>
              <w:t>Focused pilot</w:t>
            </w:r>
          </w:p>
        </w:tc>
        <w:tc>
          <w:tcPr>
            <w:tcW w:w="2340" w:type="dxa"/>
          </w:tcPr>
          <w:p w14:paraId="7CC094DF" w14:textId="77777777" w:rsidR="00EB6F44" w:rsidRDefault="00000000">
            <w:r>
              <w:rPr>
                <w:rFonts w:ascii="Calibri" w:hAnsi="Calibri"/>
                <w:color w:val="475569"/>
                <w:sz w:val="19"/>
              </w:rPr>
              <w:t>One retailer, core internal data, periodic fingerprint refresh, basic peer matching</w:t>
            </w:r>
          </w:p>
        </w:tc>
        <w:tc>
          <w:tcPr>
            <w:tcW w:w="2340" w:type="dxa"/>
          </w:tcPr>
          <w:p w14:paraId="031C1DE9" w14:textId="77777777" w:rsidR="00EB6F44" w:rsidRDefault="00000000">
            <w:r>
              <w:rPr>
                <w:rFonts w:ascii="Calibri" w:hAnsi="Calibri"/>
                <w:color w:val="475569"/>
                <w:sz w:val="19"/>
              </w:rPr>
              <w:t>Medium</w:t>
            </w:r>
          </w:p>
        </w:tc>
        <w:tc>
          <w:tcPr>
            <w:tcW w:w="2340" w:type="dxa"/>
          </w:tcPr>
          <w:p w14:paraId="68B42086" w14:textId="77777777" w:rsidR="00EB6F44" w:rsidRDefault="00000000">
            <w:r>
              <w:rPr>
                <w:rFonts w:ascii="Calibri" w:hAnsi="Calibri"/>
                <w:color w:val="475569"/>
                <w:sz w:val="19"/>
              </w:rPr>
              <w:t>Proof of value before full multimodal scope</w:t>
            </w:r>
          </w:p>
        </w:tc>
      </w:tr>
      <w:tr w:rsidR="00EB6F44" w14:paraId="5E55ACDA" w14:textId="77777777">
        <w:tc>
          <w:tcPr>
            <w:tcW w:w="2340" w:type="dxa"/>
            <w:shd w:val="clear" w:color="auto" w:fill="F8FAFC"/>
          </w:tcPr>
          <w:p w14:paraId="6F15D7D6" w14:textId="77777777" w:rsidR="00EB6F44" w:rsidRDefault="00000000">
            <w:r>
              <w:rPr>
                <w:rFonts w:ascii="Calibri" w:hAnsi="Calibri"/>
                <w:b/>
                <w:color w:val="1A365D"/>
                <w:sz w:val="19"/>
              </w:rPr>
              <w:t>Operational product</w:t>
            </w:r>
          </w:p>
        </w:tc>
        <w:tc>
          <w:tcPr>
            <w:tcW w:w="2340" w:type="dxa"/>
            <w:shd w:val="clear" w:color="auto" w:fill="F8FAFC"/>
          </w:tcPr>
          <w:p w14:paraId="34061DA9" w14:textId="77777777" w:rsidR="00EB6F44" w:rsidRDefault="00000000">
            <w:r>
              <w:rPr>
                <w:rFonts w:ascii="Calibri" w:hAnsi="Calibri"/>
                <w:color w:val="475569"/>
                <w:sz w:val="19"/>
              </w:rPr>
              <w:t xml:space="preserve">Scheduled pipelines, governed data, clustering, </w:t>
            </w:r>
            <w:r>
              <w:rPr>
                <w:rFonts w:ascii="Calibri" w:hAnsi="Calibri"/>
                <w:color w:val="475569"/>
                <w:sz w:val="19"/>
              </w:rPr>
              <w:lastRenderedPageBreak/>
              <w:t>and business-readable recommendations</w:t>
            </w:r>
          </w:p>
        </w:tc>
        <w:tc>
          <w:tcPr>
            <w:tcW w:w="2340" w:type="dxa"/>
            <w:shd w:val="clear" w:color="auto" w:fill="F8FAFC"/>
          </w:tcPr>
          <w:p w14:paraId="69ACAC0B" w14:textId="77777777" w:rsidR="00EB6F44" w:rsidRDefault="00000000">
            <w:r>
              <w:rPr>
                <w:rFonts w:ascii="Calibri" w:hAnsi="Calibri"/>
                <w:color w:val="475569"/>
                <w:sz w:val="19"/>
              </w:rPr>
              <w:lastRenderedPageBreak/>
              <w:t>High</w:t>
            </w:r>
          </w:p>
        </w:tc>
        <w:tc>
          <w:tcPr>
            <w:tcW w:w="2340" w:type="dxa"/>
            <w:shd w:val="clear" w:color="auto" w:fill="F8FAFC"/>
          </w:tcPr>
          <w:p w14:paraId="2050FF0F" w14:textId="77777777" w:rsidR="00EB6F44" w:rsidRDefault="00000000">
            <w:r>
              <w:rPr>
                <w:rFonts w:ascii="Calibri" w:hAnsi="Calibri"/>
                <w:color w:val="475569"/>
                <w:sz w:val="19"/>
              </w:rPr>
              <w:t>Move from insight demo to recurring decision support</w:t>
            </w:r>
          </w:p>
        </w:tc>
      </w:tr>
      <w:tr w:rsidR="00EB6F44" w14:paraId="2B03C6CA" w14:textId="77777777">
        <w:tc>
          <w:tcPr>
            <w:tcW w:w="2340" w:type="dxa"/>
          </w:tcPr>
          <w:p w14:paraId="17D50F33" w14:textId="77777777" w:rsidR="00EB6F44" w:rsidRDefault="00000000">
            <w:r>
              <w:rPr>
                <w:rFonts w:ascii="Calibri" w:hAnsi="Calibri"/>
                <w:b/>
                <w:color w:val="1A365D"/>
                <w:sz w:val="19"/>
              </w:rPr>
              <w:t>Enterprise rollout</w:t>
            </w:r>
          </w:p>
        </w:tc>
        <w:tc>
          <w:tcPr>
            <w:tcW w:w="2340" w:type="dxa"/>
          </w:tcPr>
          <w:p w14:paraId="63B4CF7F" w14:textId="77777777" w:rsidR="00EB6F44" w:rsidRDefault="00000000">
            <w:r>
              <w:rPr>
                <w:rFonts w:ascii="Calibri" w:hAnsi="Calibri"/>
                <w:color w:val="475569"/>
                <w:sz w:val="19"/>
              </w:rPr>
              <w:t>Multi-region network, external signals, security, monitoring, and stakeholder workflows</w:t>
            </w:r>
          </w:p>
        </w:tc>
        <w:tc>
          <w:tcPr>
            <w:tcW w:w="2340" w:type="dxa"/>
          </w:tcPr>
          <w:p w14:paraId="2A892F47" w14:textId="77777777" w:rsidR="00EB6F44" w:rsidRDefault="00000000">
            <w:r>
              <w:rPr>
                <w:rFonts w:ascii="Calibri" w:hAnsi="Calibri"/>
                <w:color w:val="475569"/>
                <w:sz w:val="19"/>
              </w:rPr>
              <w:t>High</w:t>
            </w:r>
          </w:p>
        </w:tc>
        <w:tc>
          <w:tcPr>
            <w:tcW w:w="2340" w:type="dxa"/>
          </w:tcPr>
          <w:p w14:paraId="6BE77F19" w14:textId="77777777" w:rsidR="00EB6F44" w:rsidRDefault="00000000">
            <w:r>
              <w:rPr>
                <w:rFonts w:ascii="Calibri" w:hAnsi="Calibri"/>
                <w:color w:val="475569"/>
                <w:sz w:val="19"/>
              </w:rPr>
              <w:t>Data rights, integration depth, and organizational adoption</w:t>
            </w:r>
          </w:p>
        </w:tc>
      </w:tr>
      <w:tr w:rsidR="00EB6F44" w14:paraId="162623ED" w14:textId="77777777">
        <w:tc>
          <w:tcPr>
            <w:tcW w:w="2340" w:type="dxa"/>
            <w:shd w:val="clear" w:color="auto" w:fill="F8FAFC"/>
          </w:tcPr>
          <w:p w14:paraId="4AEDEBA7" w14:textId="77777777" w:rsidR="00EB6F44" w:rsidRDefault="00000000">
            <w:r>
              <w:rPr>
                <w:rFonts w:ascii="Calibri" w:hAnsi="Calibri"/>
                <w:b/>
                <w:color w:val="1A365D"/>
                <w:sz w:val="19"/>
              </w:rPr>
              <w:t>Full problem vision</w:t>
            </w:r>
          </w:p>
        </w:tc>
        <w:tc>
          <w:tcPr>
            <w:tcW w:w="2340" w:type="dxa"/>
            <w:shd w:val="clear" w:color="auto" w:fill="F8FAFC"/>
          </w:tcPr>
          <w:p w14:paraId="24764F52" w14:textId="77777777" w:rsidR="00EB6F44" w:rsidRDefault="00000000">
            <w:r>
              <w:rPr>
                <w:rFonts w:ascii="Calibri" w:hAnsi="Calibri"/>
                <w:color w:val="475569"/>
                <w:sz w:val="19"/>
              </w:rPr>
              <w:t>Continuous refresh, broad modalities, network-wide growth and improvement recommendations</w:t>
            </w:r>
          </w:p>
        </w:tc>
        <w:tc>
          <w:tcPr>
            <w:tcW w:w="2340" w:type="dxa"/>
            <w:shd w:val="clear" w:color="auto" w:fill="F8FAFC"/>
          </w:tcPr>
          <w:p w14:paraId="69CDB49C" w14:textId="77777777" w:rsidR="00EB6F44" w:rsidRDefault="00000000">
            <w:r>
              <w:rPr>
                <w:rFonts w:ascii="Calibri" w:hAnsi="Calibri"/>
                <w:color w:val="475569"/>
                <w:sz w:val="19"/>
              </w:rPr>
              <w:t>Very high</w:t>
            </w:r>
          </w:p>
        </w:tc>
        <w:tc>
          <w:tcPr>
            <w:tcW w:w="2340" w:type="dxa"/>
            <w:shd w:val="clear" w:color="auto" w:fill="F8FAFC"/>
          </w:tcPr>
          <w:p w14:paraId="1396AAE1" w14:textId="77777777" w:rsidR="00EB6F44" w:rsidRDefault="00000000">
            <w:r>
              <w:rPr>
                <w:rFonts w:ascii="Calibri" w:hAnsi="Calibri"/>
                <w:color w:val="475569"/>
                <w:sz w:val="19"/>
              </w:rPr>
              <w:t>Breadth of data, AI cost, and explanation quality at scale</w:t>
            </w:r>
          </w:p>
        </w:tc>
      </w:tr>
    </w:tbl>
    <w:p w14:paraId="503CF8B0" w14:textId="77777777" w:rsidR="00EB6F44" w:rsidRDefault="00EB6F44"/>
    <w:p w14:paraId="4E1D5D9D" w14:textId="77777777" w:rsidR="00EB6F44" w:rsidRDefault="00000000">
      <w:pPr>
        <w:pStyle w:val="Heading2"/>
      </w:pPr>
      <w:r>
        <w:rPr>
          <w:rFonts w:ascii="Calibri" w:hAnsi="Calibri"/>
          <w:color w:val="0E7C86"/>
        </w:rPr>
        <w:t>What makes production faster or slower</w:t>
      </w:r>
    </w:p>
    <w:tbl>
      <w:tblPr>
        <w:tblStyle w:val="TableGrid"/>
        <w:tblW w:w="0" w:type="auto"/>
        <w:tblLook w:val="04A0" w:firstRow="1" w:lastRow="0" w:firstColumn="1" w:lastColumn="0" w:noHBand="0" w:noVBand="1"/>
      </w:tblPr>
      <w:tblGrid>
        <w:gridCol w:w="4675"/>
        <w:gridCol w:w="4675"/>
      </w:tblGrid>
      <w:tr w:rsidR="00EB6F44" w14:paraId="08C1CC87" w14:textId="77777777">
        <w:tc>
          <w:tcPr>
            <w:tcW w:w="4680" w:type="dxa"/>
            <w:shd w:val="clear" w:color="auto" w:fill="F8FAFC"/>
          </w:tcPr>
          <w:p w14:paraId="579D3C88" w14:textId="77777777" w:rsidR="00EB6F44" w:rsidRDefault="00000000">
            <w:r>
              <w:rPr>
                <w:rFonts w:ascii="Calibri" w:hAnsi="Calibri"/>
                <w:b/>
                <w:color w:val="1A365D"/>
                <w:sz w:val="20"/>
              </w:rPr>
              <w:t>Faster path</w:t>
            </w:r>
          </w:p>
        </w:tc>
        <w:tc>
          <w:tcPr>
            <w:tcW w:w="4680" w:type="dxa"/>
            <w:shd w:val="clear" w:color="auto" w:fill="F8FAFC"/>
          </w:tcPr>
          <w:p w14:paraId="462807D8" w14:textId="77777777" w:rsidR="00EB6F44" w:rsidRDefault="00000000">
            <w:r>
              <w:rPr>
                <w:rFonts w:ascii="Calibri" w:hAnsi="Calibri"/>
                <w:b/>
                <w:color w:val="1A365D"/>
                <w:sz w:val="20"/>
              </w:rPr>
              <w:t>Slower path</w:t>
            </w:r>
          </w:p>
        </w:tc>
      </w:tr>
      <w:tr w:rsidR="00EB6F44" w14:paraId="26534D16" w14:textId="77777777">
        <w:tc>
          <w:tcPr>
            <w:tcW w:w="4680" w:type="dxa"/>
          </w:tcPr>
          <w:p w14:paraId="0DD00F78" w14:textId="77777777" w:rsidR="00EB6F44" w:rsidRDefault="00000000">
            <w:r>
              <w:rPr>
                <w:rFonts w:ascii="Calibri" w:hAnsi="Calibri"/>
                <w:color w:val="475569"/>
                <w:sz w:val="20"/>
              </w:rPr>
              <w:t>Start with high-quality internal store and ops data</w:t>
            </w:r>
          </w:p>
        </w:tc>
        <w:tc>
          <w:tcPr>
            <w:tcW w:w="4680" w:type="dxa"/>
          </w:tcPr>
          <w:p w14:paraId="01EE1975" w14:textId="77777777" w:rsidR="00EB6F44" w:rsidRDefault="00000000">
            <w:r>
              <w:rPr>
                <w:rFonts w:ascii="Calibri" w:hAnsi="Calibri"/>
                <w:color w:val="475569"/>
                <w:sz w:val="20"/>
              </w:rPr>
              <w:t>Require full external data coverage on day one</w:t>
            </w:r>
          </w:p>
        </w:tc>
      </w:tr>
      <w:tr w:rsidR="00EB6F44" w14:paraId="07E51642" w14:textId="77777777">
        <w:tc>
          <w:tcPr>
            <w:tcW w:w="4680" w:type="dxa"/>
            <w:shd w:val="clear" w:color="auto" w:fill="F8FAFC"/>
          </w:tcPr>
          <w:p w14:paraId="64C10595" w14:textId="77777777" w:rsidR="00EB6F44" w:rsidRDefault="00000000">
            <w:r>
              <w:rPr>
                <w:rFonts w:ascii="Calibri" w:hAnsi="Calibri"/>
                <w:color w:val="475569"/>
                <w:sz w:val="20"/>
              </w:rPr>
              <w:t>Define a narrow pilot region or banner</w:t>
            </w:r>
          </w:p>
        </w:tc>
        <w:tc>
          <w:tcPr>
            <w:tcW w:w="4680" w:type="dxa"/>
            <w:shd w:val="clear" w:color="auto" w:fill="F8FAFC"/>
          </w:tcPr>
          <w:p w14:paraId="5C0005A3" w14:textId="77777777" w:rsidR="00EB6F44" w:rsidRDefault="00000000">
            <w:r>
              <w:rPr>
                <w:rFonts w:ascii="Calibri" w:hAnsi="Calibri"/>
                <w:color w:val="475569"/>
                <w:sz w:val="20"/>
              </w:rPr>
              <w:t>Launch across all formats and countries immediately</w:t>
            </w:r>
          </w:p>
        </w:tc>
      </w:tr>
      <w:tr w:rsidR="00EB6F44" w14:paraId="24D41F16" w14:textId="77777777">
        <w:tc>
          <w:tcPr>
            <w:tcW w:w="4680" w:type="dxa"/>
          </w:tcPr>
          <w:p w14:paraId="7A93A5DC" w14:textId="77777777" w:rsidR="00EB6F44" w:rsidRDefault="00000000">
            <w:r>
              <w:rPr>
                <w:rFonts w:ascii="Calibri" w:hAnsi="Calibri"/>
                <w:color w:val="475569"/>
                <w:sz w:val="20"/>
              </w:rPr>
              <w:t>Accept scheduled fingerprint refresh</w:t>
            </w:r>
          </w:p>
        </w:tc>
        <w:tc>
          <w:tcPr>
            <w:tcW w:w="4680" w:type="dxa"/>
          </w:tcPr>
          <w:p w14:paraId="0D4ED87E" w14:textId="77777777" w:rsidR="00EB6F44" w:rsidRDefault="00000000">
            <w:r>
              <w:rPr>
                <w:rFonts w:ascii="Calibri" w:hAnsi="Calibri"/>
                <w:color w:val="475569"/>
                <w:sz w:val="20"/>
              </w:rPr>
              <w:t>Demand near-real-time store DNA updates</w:t>
            </w:r>
          </w:p>
        </w:tc>
      </w:tr>
      <w:tr w:rsidR="00EB6F44" w14:paraId="355E0E2F" w14:textId="77777777">
        <w:tc>
          <w:tcPr>
            <w:tcW w:w="4680" w:type="dxa"/>
            <w:shd w:val="clear" w:color="auto" w:fill="F8FAFC"/>
          </w:tcPr>
          <w:p w14:paraId="78B94324" w14:textId="77777777" w:rsidR="00EB6F44" w:rsidRDefault="00000000">
            <w:r>
              <w:rPr>
                <w:rFonts w:ascii="Calibri" w:hAnsi="Calibri"/>
                <w:color w:val="475569"/>
                <w:sz w:val="20"/>
              </w:rPr>
              <w:t>Use recommendations in analyst-led workflows first</w:t>
            </w:r>
          </w:p>
        </w:tc>
        <w:tc>
          <w:tcPr>
            <w:tcW w:w="4680" w:type="dxa"/>
            <w:shd w:val="clear" w:color="auto" w:fill="F8FAFC"/>
          </w:tcPr>
          <w:p w14:paraId="7651A619" w14:textId="77777777" w:rsidR="00EB6F44" w:rsidRDefault="00000000">
            <w:r>
              <w:rPr>
                <w:rFonts w:ascii="Calibri" w:hAnsi="Calibri"/>
                <w:color w:val="475569"/>
                <w:sz w:val="20"/>
              </w:rPr>
              <w:t>Require fully automated field execution at launch</w:t>
            </w:r>
          </w:p>
        </w:tc>
      </w:tr>
      <w:tr w:rsidR="00EB6F44" w14:paraId="5069B280" w14:textId="77777777">
        <w:tc>
          <w:tcPr>
            <w:tcW w:w="4680" w:type="dxa"/>
          </w:tcPr>
          <w:p w14:paraId="7452F9B6" w14:textId="77777777" w:rsidR="00EB6F44" w:rsidRDefault="00000000">
            <w:r>
              <w:rPr>
                <w:rFonts w:ascii="Calibri" w:hAnsi="Calibri"/>
                <w:color w:val="475569"/>
                <w:sz w:val="20"/>
              </w:rPr>
              <w:t>Clear executive sponsor and store-leader use case</w:t>
            </w:r>
          </w:p>
        </w:tc>
        <w:tc>
          <w:tcPr>
            <w:tcW w:w="4680" w:type="dxa"/>
          </w:tcPr>
          <w:p w14:paraId="2E42B6C0" w14:textId="77777777" w:rsidR="00EB6F44" w:rsidRDefault="00000000">
            <w:r>
              <w:rPr>
                <w:rFonts w:ascii="Calibri" w:hAnsi="Calibri"/>
                <w:color w:val="475569"/>
                <w:sz w:val="20"/>
              </w:rPr>
              <w:t>Build the platform before defining the business workflow</w:t>
            </w:r>
          </w:p>
        </w:tc>
      </w:tr>
    </w:tbl>
    <w:p w14:paraId="01F1AEAC" w14:textId="77777777" w:rsidR="00EB6F44" w:rsidRDefault="00EB6F44"/>
    <w:p w14:paraId="2FC6AB9E" w14:textId="77777777" w:rsidR="00EB6F44" w:rsidRDefault="00000000">
      <w:pPr>
        <w:pStyle w:val="Heading1"/>
      </w:pPr>
      <w:r>
        <w:rPr>
          <w:rFonts w:ascii="Calibri" w:hAnsi="Calibri"/>
          <w:color w:val="1A365D"/>
        </w:rPr>
        <w:t>16. Constraints That Affect Scale</w:t>
      </w:r>
    </w:p>
    <w:tbl>
      <w:tblPr>
        <w:tblStyle w:val="TableGrid"/>
        <w:tblW w:w="0" w:type="auto"/>
        <w:tblLook w:val="04A0" w:firstRow="1" w:lastRow="0" w:firstColumn="1" w:lastColumn="0" w:noHBand="0" w:noVBand="1"/>
      </w:tblPr>
      <w:tblGrid>
        <w:gridCol w:w="4675"/>
        <w:gridCol w:w="4675"/>
      </w:tblGrid>
      <w:tr w:rsidR="00EB6F44" w14:paraId="52712817" w14:textId="77777777">
        <w:tc>
          <w:tcPr>
            <w:tcW w:w="4680" w:type="dxa"/>
            <w:shd w:val="clear" w:color="auto" w:fill="F8FAFC"/>
          </w:tcPr>
          <w:p w14:paraId="73B2898A" w14:textId="77777777" w:rsidR="00EB6F44" w:rsidRDefault="00000000">
            <w:r>
              <w:rPr>
                <w:rFonts w:ascii="Calibri" w:hAnsi="Calibri"/>
                <w:b/>
                <w:color w:val="1A365D"/>
                <w:sz w:val="20"/>
              </w:rPr>
              <w:t>Constraint</w:t>
            </w:r>
          </w:p>
        </w:tc>
        <w:tc>
          <w:tcPr>
            <w:tcW w:w="4680" w:type="dxa"/>
            <w:shd w:val="clear" w:color="auto" w:fill="F8FAFC"/>
          </w:tcPr>
          <w:p w14:paraId="23536C5E" w14:textId="77777777" w:rsidR="00EB6F44" w:rsidRDefault="00000000">
            <w:r>
              <w:rPr>
                <w:rFonts w:ascii="Calibri" w:hAnsi="Calibri"/>
                <w:b/>
                <w:color w:val="1A365D"/>
                <w:sz w:val="20"/>
              </w:rPr>
              <w:t>Effect on scalability</w:t>
            </w:r>
          </w:p>
        </w:tc>
      </w:tr>
      <w:tr w:rsidR="00EB6F44" w14:paraId="4EC774FF" w14:textId="77777777">
        <w:tc>
          <w:tcPr>
            <w:tcW w:w="4680" w:type="dxa"/>
          </w:tcPr>
          <w:p w14:paraId="5A1BE14E" w14:textId="77777777" w:rsidR="00EB6F44" w:rsidRDefault="00000000">
            <w:r>
              <w:rPr>
                <w:rFonts w:ascii="Calibri" w:hAnsi="Calibri"/>
                <w:b/>
                <w:color w:val="1A365D"/>
                <w:sz w:val="20"/>
              </w:rPr>
              <w:t>Multimodal data integration</w:t>
            </w:r>
          </w:p>
        </w:tc>
        <w:tc>
          <w:tcPr>
            <w:tcW w:w="4680" w:type="dxa"/>
          </w:tcPr>
          <w:p w14:paraId="7A9F5D33" w14:textId="77777777" w:rsidR="00EB6F44" w:rsidRDefault="00000000">
            <w:r>
              <w:rPr>
                <w:rFonts w:ascii="Calibri" w:hAnsi="Calibri"/>
                <w:color w:val="475569"/>
                <w:sz w:val="20"/>
              </w:rPr>
              <w:t>The more complete the fingerprint, the heavier the production burden</w:t>
            </w:r>
          </w:p>
        </w:tc>
      </w:tr>
      <w:tr w:rsidR="00EB6F44" w14:paraId="22D7DBEC" w14:textId="77777777">
        <w:tc>
          <w:tcPr>
            <w:tcW w:w="4680" w:type="dxa"/>
          </w:tcPr>
          <w:p w14:paraId="54E0440F" w14:textId="77777777" w:rsidR="00EB6F44" w:rsidRDefault="00000000">
            <w:r>
              <w:rPr>
                <w:rFonts w:ascii="Calibri" w:hAnsi="Calibri"/>
                <w:b/>
                <w:color w:val="1A365D"/>
                <w:sz w:val="20"/>
              </w:rPr>
              <w:t>AI and inference cost</w:t>
            </w:r>
          </w:p>
        </w:tc>
        <w:tc>
          <w:tcPr>
            <w:tcW w:w="4680" w:type="dxa"/>
          </w:tcPr>
          <w:p w14:paraId="3A9FE318" w14:textId="77777777" w:rsidR="00EB6F44" w:rsidRDefault="00000000">
            <w:r>
              <w:rPr>
                <w:rFonts w:ascii="Calibri" w:hAnsi="Calibri"/>
                <w:color w:val="475569"/>
                <w:sz w:val="20"/>
              </w:rPr>
              <w:t>Grows with stores, text volume, refresh rate, and narrative generation</w:t>
            </w:r>
          </w:p>
        </w:tc>
      </w:tr>
      <w:tr w:rsidR="00EB6F44" w14:paraId="0F787E7E" w14:textId="77777777">
        <w:tc>
          <w:tcPr>
            <w:tcW w:w="4680" w:type="dxa"/>
          </w:tcPr>
          <w:p w14:paraId="4E1CBC28" w14:textId="77777777" w:rsidR="00EB6F44" w:rsidRDefault="00000000">
            <w:r>
              <w:rPr>
                <w:rFonts w:ascii="Calibri" w:hAnsi="Calibri"/>
                <w:b/>
                <w:color w:val="1A365D"/>
                <w:sz w:val="20"/>
              </w:rPr>
              <w:t>External data access</w:t>
            </w:r>
          </w:p>
        </w:tc>
        <w:tc>
          <w:tcPr>
            <w:tcW w:w="4680" w:type="dxa"/>
          </w:tcPr>
          <w:p w14:paraId="3F6B390D" w14:textId="77777777" w:rsidR="00EB6F44" w:rsidRDefault="00000000">
            <w:r>
              <w:rPr>
                <w:rFonts w:ascii="Calibri" w:hAnsi="Calibri"/>
                <w:color w:val="475569"/>
                <w:sz w:val="20"/>
              </w:rPr>
              <w:t>Reviews, news, and market context vary by market and legal boundary</w:t>
            </w:r>
          </w:p>
        </w:tc>
      </w:tr>
      <w:tr w:rsidR="00EB6F44" w14:paraId="4B376B19" w14:textId="77777777">
        <w:tc>
          <w:tcPr>
            <w:tcW w:w="4680" w:type="dxa"/>
          </w:tcPr>
          <w:p w14:paraId="1C99684A" w14:textId="77777777" w:rsidR="00EB6F44" w:rsidRDefault="00000000">
            <w:r>
              <w:rPr>
                <w:rFonts w:ascii="Calibri" w:hAnsi="Calibri"/>
                <w:b/>
                <w:color w:val="1A365D"/>
                <w:sz w:val="20"/>
              </w:rPr>
              <w:t>Trust and explainability</w:t>
            </w:r>
          </w:p>
        </w:tc>
        <w:tc>
          <w:tcPr>
            <w:tcW w:w="4680" w:type="dxa"/>
          </w:tcPr>
          <w:p w14:paraId="4442A16B" w14:textId="77777777" w:rsidR="00EB6F44" w:rsidRDefault="00000000">
            <w:r>
              <w:rPr>
                <w:rFonts w:ascii="Calibri" w:hAnsi="Calibri"/>
                <w:color w:val="475569"/>
                <w:sz w:val="20"/>
              </w:rPr>
              <w:t>Recommendations must be interpretable or adoption will not scale</w:t>
            </w:r>
          </w:p>
        </w:tc>
      </w:tr>
      <w:tr w:rsidR="00EB6F44" w14:paraId="7159E8F9" w14:textId="77777777">
        <w:tc>
          <w:tcPr>
            <w:tcW w:w="4680" w:type="dxa"/>
          </w:tcPr>
          <w:p w14:paraId="28148722" w14:textId="77777777" w:rsidR="00EB6F44" w:rsidRDefault="00000000">
            <w:r>
              <w:rPr>
                <w:rFonts w:ascii="Calibri" w:hAnsi="Calibri"/>
                <w:b/>
                <w:color w:val="1A365D"/>
                <w:sz w:val="20"/>
              </w:rPr>
              <w:t>Organizational readiness</w:t>
            </w:r>
          </w:p>
        </w:tc>
        <w:tc>
          <w:tcPr>
            <w:tcW w:w="4680" w:type="dxa"/>
          </w:tcPr>
          <w:p w14:paraId="3690F027" w14:textId="77777777" w:rsidR="00EB6F44" w:rsidRDefault="00000000">
            <w:r>
              <w:rPr>
                <w:rFonts w:ascii="Calibri" w:hAnsi="Calibri"/>
                <w:color w:val="475569"/>
                <w:sz w:val="20"/>
              </w:rPr>
              <w:t>A scalable platform still fails if store leaders are not positioned to act</w:t>
            </w:r>
          </w:p>
        </w:tc>
      </w:tr>
    </w:tbl>
    <w:p w14:paraId="214B8C60" w14:textId="77777777" w:rsidR="00EB6F44" w:rsidRDefault="00EB6F44"/>
    <w:p w14:paraId="6A54F259" w14:textId="77777777" w:rsidR="00EB6F44" w:rsidRDefault="00EB6F44" w:rsidP="00200C32"/>
    <w:p w14:paraId="57E2385E" w14:textId="77777777" w:rsidR="0067077B" w:rsidRDefault="00000000">
      <w:r>
        <w:br w:type="page"/>
      </w:r>
    </w:p>
    <w:p w14:paraId="1C99478A" w14:textId="77777777" w:rsidR="0067077B" w:rsidRPr="00FA633B" w:rsidRDefault="00000000">
      <w:pPr>
        <w:pStyle w:val="Heading1"/>
        <w:rPr>
          <w:color w:val="00B050"/>
          <w:sz w:val="40"/>
          <w:szCs w:val="40"/>
        </w:rPr>
      </w:pPr>
      <w:r w:rsidRPr="00FA633B">
        <w:rPr>
          <w:rFonts w:ascii="Calibri" w:hAnsi="Calibri"/>
          <w:color w:val="00B050"/>
          <w:sz w:val="40"/>
          <w:szCs w:val="40"/>
        </w:rPr>
        <w:lastRenderedPageBreak/>
        <w:t>17. Evaluation Focus 4 — Revenue Generation Potential</w:t>
      </w:r>
    </w:p>
    <w:tbl>
      <w:tblPr>
        <w:tblStyle w:val="TableGrid"/>
        <w:tblW w:w="0" w:type="auto"/>
        <w:tblLook w:val="04A0" w:firstRow="1" w:lastRow="0" w:firstColumn="1" w:lastColumn="0" w:noHBand="0" w:noVBand="1"/>
      </w:tblPr>
      <w:tblGrid>
        <w:gridCol w:w="4675"/>
        <w:gridCol w:w="4675"/>
      </w:tblGrid>
      <w:tr w:rsidR="0067077B" w14:paraId="43266A53" w14:textId="77777777">
        <w:tc>
          <w:tcPr>
            <w:tcW w:w="4680" w:type="dxa"/>
            <w:shd w:val="clear" w:color="auto" w:fill="1A365D"/>
          </w:tcPr>
          <w:p w14:paraId="3F5A475C" w14:textId="77777777" w:rsidR="0067077B" w:rsidRDefault="00000000">
            <w:r>
              <w:rPr>
                <w:rFonts w:ascii="Calibri" w:hAnsi="Calibri"/>
                <w:b/>
                <w:color w:val="FFFFFF"/>
                <w:sz w:val="20"/>
              </w:rPr>
              <w:t>Question under review</w:t>
            </w:r>
          </w:p>
        </w:tc>
        <w:tc>
          <w:tcPr>
            <w:tcW w:w="4680" w:type="dxa"/>
            <w:shd w:val="clear" w:color="auto" w:fill="1A365D"/>
          </w:tcPr>
          <w:p w14:paraId="0570602E" w14:textId="77777777" w:rsidR="0067077B" w:rsidRDefault="00000000">
            <w:r>
              <w:rPr>
                <w:rFonts w:ascii="Calibri" w:hAnsi="Calibri"/>
                <w:b/>
                <w:color w:val="FFFFFF"/>
                <w:sz w:val="20"/>
              </w:rPr>
              <w:t>Assessment</w:t>
            </w:r>
          </w:p>
        </w:tc>
      </w:tr>
      <w:tr w:rsidR="0067077B" w14:paraId="213D1F07" w14:textId="77777777">
        <w:tc>
          <w:tcPr>
            <w:tcW w:w="4680" w:type="dxa"/>
          </w:tcPr>
          <w:p w14:paraId="33C9D309" w14:textId="77777777" w:rsidR="0067077B" w:rsidRPr="001E2A02" w:rsidRDefault="001E2A02">
            <w:pPr>
              <w:rPr>
                <w:rFonts w:ascii="Calibri" w:hAnsi="Calibri"/>
                <w:color w:val="475569"/>
                <w:sz w:val="20"/>
                <w:lang w:val="en-IN"/>
              </w:rPr>
            </w:pPr>
            <w:r w:rsidRPr="001E2A02">
              <w:rPr>
                <w:rFonts w:ascii="Calibri" w:hAnsi="Calibri"/>
                <w:color w:val="475569"/>
                <w:sz w:val="20"/>
                <w:lang w:val="en-IN"/>
              </w:rPr>
              <w:t>Revenue generation potential - Can this be productized into a recurring service? Will there be long term dependency</w:t>
            </w:r>
          </w:p>
        </w:tc>
        <w:tc>
          <w:tcPr>
            <w:tcW w:w="4680" w:type="dxa"/>
          </w:tcPr>
          <w:p w14:paraId="60B1D4C9" w14:textId="77777777" w:rsidR="0067077B" w:rsidRDefault="00000000">
            <w:r>
              <w:rPr>
                <w:rFonts w:ascii="Calibri" w:hAnsi="Calibri"/>
                <w:b/>
                <w:color w:val="0E7C86"/>
              </w:rPr>
              <w:t xml:space="preserve">Strong productization potential as an ongoing intelligence service; dependency is likely if embedded into store planning and </w:t>
            </w:r>
            <w:r w:rsidR="001E2A02">
              <w:rPr>
                <w:rFonts w:ascii="Calibri" w:hAnsi="Calibri"/>
                <w:b/>
                <w:color w:val="0E7C86"/>
              </w:rPr>
              <w:t>refreshing</w:t>
            </w:r>
            <w:r>
              <w:rPr>
                <w:rFonts w:ascii="Calibri" w:hAnsi="Calibri"/>
                <w:b/>
                <w:color w:val="0E7C86"/>
              </w:rPr>
              <w:t xml:space="preserve"> cycles.</w:t>
            </w:r>
          </w:p>
        </w:tc>
      </w:tr>
    </w:tbl>
    <w:p w14:paraId="40DC1A9F" w14:textId="77777777" w:rsidR="0067077B" w:rsidRDefault="0067077B"/>
    <w:tbl>
      <w:tblPr>
        <w:tblW w:w="0" w:type="auto"/>
        <w:tblLook w:val="04A0" w:firstRow="1" w:lastRow="0" w:firstColumn="1" w:lastColumn="0" w:noHBand="0" w:noVBand="1"/>
      </w:tblPr>
      <w:tblGrid>
        <w:gridCol w:w="9360"/>
      </w:tblGrid>
      <w:tr w:rsidR="0067077B" w14:paraId="44DAE292" w14:textId="77777777" w:rsidTr="001E2A02">
        <w:tc>
          <w:tcPr>
            <w:tcW w:w="9360" w:type="dxa"/>
            <w:shd w:val="clear" w:color="auto" w:fill="FFFFFF" w:themeFill="background1"/>
          </w:tcPr>
          <w:p w14:paraId="56F61FC0" w14:textId="77777777" w:rsidR="001E2A02" w:rsidRDefault="00000000" w:rsidP="001E2A02">
            <w:pPr>
              <w:spacing w:after="0"/>
              <w:rPr>
                <w:rFonts w:ascii="Calibri" w:hAnsi="Calibri"/>
                <w:b/>
                <w:color w:val="1F497D" w:themeColor="text2"/>
                <w:sz w:val="28"/>
              </w:rPr>
            </w:pPr>
            <w:r w:rsidRPr="001E2A02">
              <w:rPr>
                <w:rFonts w:ascii="Calibri" w:hAnsi="Calibri"/>
                <w:b/>
                <w:color w:val="1F497D" w:themeColor="text2"/>
                <w:sz w:val="28"/>
              </w:rPr>
              <w:t>Recurring revenue candidate — not a one-time analytics project</w:t>
            </w:r>
          </w:p>
          <w:p w14:paraId="3B2CE85C" w14:textId="77777777" w:rsidR="0067077B" w:rsidRPr="001E2A02" w:rsidRDefault="001E2A02" w:rsidP="001E2A02">
            <w:pPr>
              <w:spacing w:after="0"/>
              <w:rPr>
                <w:color w:val="1F497D" w:themeColor="text2"/>
              </w:rPr>
            </w:pPr>
            <w:r w:rsidRPr="001E2A02">
              <w:rPr>
                <w:rFonts w:ascii="Calibri" w:hAnsi="Calibri"/>
                <w:color w:val="1F497D" w:themeColor="text2"/>
                <w:sz w:val="20"/>
              </w:rPr>
              <w:t>Store DNA fits a subscription model because store context, peers, and improvement opportunities change continuously.</w:t>
            </w:r>
          </w:p>
        </w:tc>
      </w:tr>
    </w:tbl>
    <w:p w14:paraId="1C32CA04" w14:textId="77777777" w:rsidR="0067077B" w:rsidRDefault="0067077B"/>
    <w:p w14:paraId="637CC029" w14:textId="77777777" w:rsidR="0067077B" w:rsidRDefault="00000000">
      <w:pPr>
        <w:pStyle w:val="Heading1"/>
      </w:pPr>
      <w:r>
        <w:rPr>
          <w:rFonts w:ascii="Calibri" w:hAnsi="Calibri"/>
          <w:color w:val="1A365D"/>
        </w:rPr>
        <w:t>18. Why This Problem Supports Recurring Revenue</w:t>
      </w:r>
    </w:p>
    <w:p w14:paraId="43E4D463" w14:textId="77777777" w:rsidR="0067077B" w:rsidRDefault="00000000">
      <w:r>
        <w:rPr>
          <w:rFonts w:ascii="Calibri" w:hAnsi="Calibri"/>
          <w:color w:val="475569"/>
        </w:rPr>
        <w:t>The StoreDNA concept is not a static deliverable. Store performance, customer sentiment, local market conditions, and operational realities change continuously — which means fingerprints, peer sets, and recommendations must be refreshed to stay useful.</w:t>
      </w:r>
    </w:p>
    <w:tbl>
      <w:tblPr>
        <w:tblStyle w:val="TableGrid"/>
        <w:tblW w:w="0" w:type="auto"/>
        <w:tblLook w:val="04A0" w:firstRow="1" w:lastRow="0" w:firstColumn="1" w:lastColumn="0" w:noHBand="0" w:noVBand="1"/>
      </w:tblPr>
      <w:tblGrid>
        <w:gridCol w:w="4675"/>
        <w:gridCol w:w="4675"/>
      </w:tblGrid>
      <w:tr w:rsidR="0067077B" w14:paraId="1CC25FE0" w14:textId="77777777">
        <w:tc>
          <w:tcPr>
            <w:tcW w:w="4680" w:type="dxa"/>
            <w:shd w:val="clear" w:color="auto" w:fill="0E7C86"/>
          </w:tcPr>
          <w:p w14:paraId="3CB4BE98" w14:textId="77777777" w:rsidR="0067077B" w:rsidRDefault="00000000">
            <w:r>
              <w:rPr>
                <w:rFonts w:ascii="Calibri" w:hAnsi="Calibri"/>
                <w:b/>
                <w:color w:val="FFFFFF"/>
                <w:sz w:val="20"/>
              </w:rPr>
              <w:t>Problem characteristic</w:t>
            </w:r>
          </w:p>
        </w:tc>
        <w:tc>
          <w:tcPr>
            <w:tcW w:w="4680" w:type="dxa"/>
            <w:shd w:val="clear" w:color="auto" w:fill="0E7C86"/>
          </w:tcPr>
          <w:p w14:paraId="7D00A4E2" w14:textId="77777777" w:rsidR="0067077B" w:rsidRDefault="00000000">
            <w:r>
              <w:rPr>
                <w:rFonts w:ascii="Calibri" w:hAnsi="Calibri"/>
                <w:b/>
                <w:color w:val="FFFFFF"/>
                <w:sz w:val="20"/>
              </w:rPr>
              <w:t>Revenue implication</w:t>
            </w:r>
          </w:p>
        </w:tc>
      </w:tr>
      <w:tr w:rsidR="0067077B" w14:paraId="7081BF22" w14:textId="77777777">
        <w:tc>
          <w:tcPr>
            <w:tcW w:w="4680" w:type="dxa"/>
          </w:tcPr>
          <w:p w14:paraId="67E4CBE5" w14:textId="77777777" w:rsidR="0067077B" w:rsidRDefault="00000000">
            <w:r>
              <w:rPr>
                <w:rFonts w:ascii="Calibri" w:hAnsi="Calibri"/>
                <w:b/>
                <w:color w:val="1A365D"/>
                <w:sz w:val="20"/>
              </w:rPr>
              <w:t>Store DNA must evolve over time</w:t>
            </w:r>
          </w:p>
        </w:tc>
        <w:tc>
          <w:tcPr>
            <w:tcW w:w="4680" w:type="dxa"/>
          </w:tcPr>
          <w:p w14:paraId="4F6F00E2" w14:textId="77777777" w:rsidR="0067077B" w:rsidRDefault="00000000">
            <w:r>
              <w:rPr>
                <w:rFonts w:ascii="Calibri" w:hAnsi="Calibri"/>
                <w:color w:val="475569"/>
                <w:sz w:val="20"/>
              </w:rPr>
              <w:t>Creates natural demand for ongoing service, not one-off delivery</w:t>
            </w:r>
          </w:p>
        </w:tc>
      </w:tr>
      <w:tr w:rsidR="0067077B" w14:paraId="04B0EE85" w14:textId="77777777">
        <w:tc>
          <w:tcPr>
            <w:tcW w:w="4680" w:type="dxa"/>
            <w:shd w:val="clear" w:color="auto" w:fill="F8FAFC"/>
          </w:tcPr>
          <w:p w14:paraId="3C8E5DCF" w14:textId="77777777" w:rsidR="0067077B" w:rsidRDefault="00000000">
            <w:r>
              <w:rPr>
                <w:rFonts w:ascii="Calibri" w:hAnsi="Calibri"/>
                <w:b/>
                <w:color w:val="1A365D"/>
                <w:sz w:val="20"/>
              </w:rPr>
              <w:t>Peer and cluster logic is reusable</w:t>
            </w:r>
          </w:p>
        </w:tc>
        <w:tc>
          <w:tcPr>
            <w:tcW w:w="4680" w:type="dxa"/>
            <w:shd w:val="clear" w:color="auto" w:fill="F8FAFC"/>
          </w:tcPr>
          <w:p w14:paraId="3CB19BC0" w14:textId="77777777" w:rsidR="0067077B" w:rsidRDefault="00000000">
            <w:r>
              <w:rPr>
                <w:rFonts w:ascii="Calibri" w:hAnsi="Calibri"/>
                <w:color w:val="475569"/>
                <w:sz w:val="20"/>
              </w:rPr>
              <w:t>Same framework can serve clients on a recurring basis</w:t>
            </w:r>
          </w:p>
        </w:tc>
      </w:tr>
      <w:tr w:rsidR="0067077B" w14:paraId="5F308C58" w14:textId="77777777">
        <w:tc>
          <w:tcPr>
            <w:tcW w:w="4680" w:type="dxa"/>
          </w:tcPr>
          <w:p w14:paraId="12BB08A9" w14:textId="77777777" w:rsidR="0067077B" w:rsidRDefault="00000000">
            <w:r>
              <w:rPr>
                <w:rFonts w:ascii="Calibri" w:hAnsi="Calibri"/>
                <w:b/>
                <w:color w:val="1A365D"/>
                <w:sz w:val="20"/>
              </w:rPr>
              <w:t>Recommendations must be re-explained</w:t>
            </w:r>
          </w:p>
        </w:tc>
        <w:tc>
          <w:tcPr>
            <w:tcW w:w="4680" w:type="dxa"/>
          </w:tcPr>
          <w:p w14:paraId="2C47F28B" w14:textId="77777777" w:rsidR="0067077B" w:rsidRDefault="00000000">
            <w:r>
              <w:rPr>
                <w:rFonts w:ascii="Calibri" w:hAnsi="Calibri"/>
                <w:color w:val="475569"/>
                <w:sz w:val="20"/>
              </w:rPr>
              <w:t>Language-layer outputs justify continued subscription value</w:t>
            </w:r>
          </w:p>
        </w:tc>
      </w:tr>
      <w:tr w:rsidR="0067077B" w14:paraId="305344D7" w14:textId="77777777">
        <w:tc>
          <w:tcPr>
            <w:tcW w:w="4680" w:type="dxa"/>
            <w:shd w:val="clear" w:color="auto" w:fill="F8FAFC"/>
          </w:tcPr>
          <w:p w14:paraId="6485019B" w14:textId="77777777" w:rsidR="0067077B" w:rsidRDefault="00000000">
            <w:r>
              <w:rPr>
                <w:rFonts w:ascii="Calibri" w:hAnsi="Calibri"/>
                <w:b/>
                <w:color w:val="1A365D"/>
                <w:sz w:val="20"/>
              </w:rPr>
              <w:t>Retail decisions are cyclical</w:t>
            </w:r>
          </w:p>
        </w:tc>
        <w:tc>
          <w:tcPr>
            <w:tcW w:w="4680" w:type="dxa"/>
            <w:shd w:val="clear" w:color="auto" w:fill="F8FAFC"/>
          </w:tcPr>
          <w:p w14:paraId="5D9B77E4" w14:textId="77777777" w:rsidR="0067077B" w:rsidRDefault="00000000">
            <w:r>
              <w:rPr>
                <w:rFonts w:ascii="Calibri" w:hAnsi="Calibri"/>
                <w:color w:val="475569"/>
                <w:sz w:val="20"/>
              </w:rPr>
              <w:t>Fits quarterly planning, regional reviews, and store visit cadences</w:t>
            </w:r>
          </w:p>
        </w:tc>
      </w:tr>
    </w:tbl>
    <w:p w14:paraId="0584ABE0" w14:textId="77777777" w:rsidR="0067077B" w:rsidRDefault="00000000">
      <w:pPr>
        <w:pStyle w:val="Heading1"/>
      </w:pPr>
      <w:r>
        <w:rPr>
          <w:rFonts w:ascii="Calibri" w:hAnsi="Calibri"/>
          <w:color w:val="1A365D"/>
        </w:rPr>
        <w:t>19. Productization Paths</w:t>
      </w:r>
    </w:p>
    <w:tbl>
      <w:tblPr>
        <w:tblStyle w:val="TableGrid"/>
        <w:tblW w:w="0" w:type="auto"/>
        <w:tblLook w:val="04A0" w:firstRow="1" w:lastRow="0" w:firstColumn="1" w:lastColumn="0" w:noHBand="0" w:noVBand="1"/>
      </w:tblPr>
      <w:tblGrid>
        <w:gridCol w:w="3117"/>
        <w:gridCol w:w="3117"/>
        <w:gridCol w:w="3116"/>
      </w:tblGrid>
      <w:tr w:rsidR="0067077B" w14:paraId="71F982DB" w14:textId="77777777">
        <w:tc>
          <w:tcPr>
            <w:tcW w:w="3120" w:type="dxa"/>
            <w:shd w:val="clear" w:color="auto" w:fill="1A365D"/>
          </w:tcPr>
          <w:p w14:paraId="4DC25397" w14:textId="77777777" w:rsidR="0067077B" w:rsidRDefault="00000000">
            <w:r>
              <w:rPr>
                <w:rFonts w:ascii="Calibri" w:hAnsi="Calibri"/>
                <w:b/>
                <w:color w:val="FFFFFF"/>
                <w:sz w:val="20"/>
              </w:rPr>
              <w:t>Offering model</w:t>
            </w:r>
          </w:p>
        </w:tc>
        <w:tc>
          <w:tcPr>
            <w:tcW w:w="3120" w:type="dxa"/>
            <w:shd w:val="clear" w:color="auto" w:fill="1A365D"/>
          </w:tcPr>
          <w:p w14:paraId="330DAFEF" w14:textId="77777777" w:rsidR="0067077B" w:rsidRDefault="00000000">
            <w:r>
              <w:rPr>
                <w:rFonts w:ascii="Calibri" w:hAnsi="Calibri"/>
                <w:b/>
                <w:color w:val="FFFFFF"/>
                <w:sz w:val="20"/>
              </w:rPr>
              <w:t>What the client buys</w:t>
            </w:r>
          </w:p>
        </w:tc>
        <w:tc>
          <w:tcPr>
            <w:tcW w:w="3120" w:type="dxa"/>
            <w:shd w:val="clear" w:color="auto" w:fill="1A365D"/>
          </w:tcPr>
          <w:p w14:paraId="2F2322C4" w14:textId="77777777" w:rsidR="0067077B" w:rsidRDefault="00000000">
            <w:r>
              <w:rPr>
                <w:rFonts w:ascii="Calibri" w:hAnsi="Calibri"/>
                <w:b/>
                <w:color w:val="FFFFFF"/>
                <w:sz w:val="20"/>
              </w:rPr>
              <w:t>Recurring potential</w:t>
            </w:r>
          </w:p>
        </w:tc>
      </w:tr>
      <w:tr w:rsidR="0067077B" w14:paraId="4AF5E3E8" w14:textId="77777777">
        <w:tc>
          <w:tcPr>
            <w:tcW w:w="3120" w:type="dxa"/>
          </w:tcPr>
          <w:p w14:paraId="0C1DFA9B" w14:textId="77777777" w:rsidR="0067077B" w:rsidRDefault="00000000">
            <w:r>
              <w:rPr>
                <w:rFonts w:ascii="Calibri" w:hAnsi="Calibri"/>
                <w:b/>
                <w:color w:val="1A365D"/>
                <w:sz w:val="20"/>
              </w:rPr>
              <w:t>Managed intelligence subscription</w:t>
            </w:r>
          </w:p>
        </w:tc>
        <w:tc>
          <w:tcPr>
            <w:tcW w:w="3120" w:type="dxa"/>
          </w:tcPr>
          <w:p w14:paraId="7523C746" w14:textId="77777777" w:rsidR="0067077B" w:rsidRDefault="00000000">
            <w:r>
              <w:rPr>
                <w:rFonts w:ascii="Calibri" w:hAnsi="Calibri"/>
                <w:color w:val="475569"/>
                <w:sz w:val="20"/>
              </w:rPr>
              <w:t>Periodic store fingerprint refresh, peer updates, and recommendation packs</w:t>
            </w:r>
          </w:p>
        </w:tc>
        <w:tc>
          <w:tcPr>
            <w:tcW w:w="3120" w:type="dxa"/>
          </w:tcPr>
          <w:p w14:paraId="78A0C6C1" w14:textId="77777777" w:rsidR="0067077B" w:rsidRDefault="00000000">
            <w:r>
              <w:rPr>
                <w:rFonts w:ascii="Calibri" w:hAnsi="Calibri"/>
                <w:color w:val="475569"/>
                <w:sz w:val="20"/>
              </w:rPr>
              <w:t>High</w:t>
            </w:r>
          </w:p>
        </w:tc>
      </w:tr>
      <w:tr w:rsidR="0067077B" w14:paraId="1C3A2143" w14:textId="77777777">
        <w:tc>
          <w:tcPr>
            <w:tcW w:w="3120" w:type="dxa"/>
            <w:shd w:val="clear" w:color="auto" w:fill="F8FAFC"/>
          </w:tcPr>
          <w:p w14:paraId="5635169E" w14:textId="77777777" w:rsidR="0067077B" w:rsidRDefault="00000000">
            <w:r>
              <w:rPr>
                <w:rFonts w:ascii="Calibri" w:hAnsi="Calibri"/>
                <w:b/>
                <w:color w:val="1A365D"/>
                <w:sz w:val="20"/>
              </w:rPr>
              <w:t>Platform + advisory bundle</w:t>
            </w:r>
          </w:p>
        </w:tc>
        <w:tc>
          <w:tcPr>
            <w:tcW w:w="3120" w:type="dxa"/>
            <w:shd w:val="clear" w:color="auto" w:fill="F8FAFC"/>
          </w:tcPr>
          <w:p w14:paraId="4DB19559" w14:textId="77777777" w:rsidR="0067077B" w:rsidRDefault="00000000">
            <w:r>
              <w:rPr>
                <w:rFonts w:ascii="Calibri" w:hAnsi="Calibri"/>
                <w:color w:val="475569"/>
                <w:sz w:val="20"/>
              </w:rPr>
              <w:t>StoreDNA engine plus analyst or consultant interpretation for business teams</w:t>
            </w:r>
          </w:p>
        </w:tc>
        <w:tc>
          <w:tcPr>
            <w:tcW w:w="3120" w:type="dxa"/>
            <w:shd w:val="clear" w:color="auto" w:fill="F8FAFC"/>
          </w:tcPr>
          <w:p w14:paraId="30BB4B07" w14:textId="77777777" w:rsidR="0067077B" w:rsidRDefault="00000000">
            <w:r>
              <w:rPr>
                <w:rFonts w:ascii="Calibri" w:hAnsi="Calibri"/>
                <w:color w:val="475569"/>
                <w:sz w:val="20"/>
              </w:rPr>
              <w:t>High</w:t>
            </w:r>
          </w:p>
        </w:tc>
      </w:tr>
      <w:tr w:rsidR="0067077B" w14:paraId="318EBC27" w14:textId="77777777">
        <w:tc>
          <w:tcPr>
            <w:tcW w:w="3120" w:type="dxa"/>
          </w:tcPr>
          <w:p w14:paraId="7D1AD962" w14:textId="77777777" w:rsidR="0067077B" w:rsidRDefault="00000000">
            <w:r>
              <w:rPr>
                <w:rFonts w:ascii="Calibri" w:hAnsi="Calibri"/>
                <w:b/>
                <w:color w:val="1A365D"/>
                <w:sz w:val="20"/>
              </w:rPr>
              <w:t>Per-network license</w:t>
            </w:r>
          </w:p>
        </w:tc>
        <w:tc>
          <w:tcPr>
            <w:tcW w:w="3120" w:type="dxa"/>
          </w:tcPr>
          <w:p w14:paraId="0A1280D6" w14:textId="77777777" w:rsidR="0067077B" w:rsidRDefault="00000000">
            <w:r>
              <w:rPr>
                <w:rFonts w:ascii="Calibri" w:hAnsi="Calibri"/>
                <w:color w:val="475569"/>
                <w:sz w:val="20"/>
              </w:rPr>
              <w:t>Annual access to peer matching, clustering, and improvement insights across the estate</w:t>
            </w:r>
          </w:p>
        </w:tc>
        <w:tc>
          <w:tcPr>
            <w:tcW w:w="3120" w:type="dxa"/>
          </w:tcPr>
          <w:p w14:paraId="02E54B84" w14:textId="77777777" w:rsidR="0067077B" w:rsidRDefault="00000000">
            <w:r>
              <w:rPr>
                <w:rFonts w:ascii="Calibri" w:hAnsi="Calibri"/>
                <w:color w:val="475569"/>
                <w:sz w:val="20"/>
              </w:rPr>
              <w:t>Medium–High</w:t>
            </w:r>
          </w:p>
        </w:tc>
      </w:tr>
      <w:tr w:rsidR="0067077B" w14:paraId="2E811A6D" w14:textId="77777777">
        <w:tc>
          <w:tcPr>
            <w:tcW w:w="3120" w:type="dxa"/>
            <w:shd w:val="clear" w:color="auto" w:fill="F8FAFC"/>
          </w:tcPr>
          <w:p w14:paraId="4BD4FCA9" w14:textId="77777777" w:rsidR="0067077B" w:rsidRDefault="00000000">
            <w:r>
              <w:rPr>
                <w:rFonts w:ascii="Calibri" w:hAnsi="Calibri"/>
                <w:b/>
                <w:color w:val="1A365D"/>
                <w:sz w:val="20"/>
              </w:rPr>
              <w:t>Diagnostic-to-recurring upsell</w:t>
            </w:r>
          </w:p>
        </w:tc>
        <w:tc>
          <w:tcPr>
            <w:tcW w:w="3120" w:type="dxa"/>
            <w:shd w:val="clear" w:color="auto" w:fill="F8FAFC"/>
          </w:tcPr>
          <w:p w14:paraId="44EDBDBB" w14:textId="77777777" w:rsidR="0067077B" w:rsidRDefault="00000000">
            <w:r>
              <w:rPr>
                <w:rFonts w:ascii="Calibri" w:hAnsi="Calibri"/>
                <w:color w:val="475569"/>
                <w:sz w:val="20"/>
              </w:rPr>
              <w:t>Initial store network assessment converting into ongoing monitoring and action tracking</w:t>
            </w:r>
          </w:p>
        </w:tc>
        <w:tc>
          <w:tcPr>
            <w:tcW w:w="3120" w:type="dxa"/>
            <w:shd w:val="clear" w:color="auto" w:fill="F8FAFC"/>
          </w:tcPr>
          <w:p w14:paraId="6F947CB5" w14:textId="77777777" w:rsidR="0067077B" w:rsidRDefault="00000000">
            <w:r>
              <w:rPr>
                <w:rFonts w:ascii="Calibri" w:hAnsi="Calibri"/>
                <w:color w:val="475569"/>
                <w:sz w:val="20"/>
              </w:rPr>
              <w:t>Medium</w:t>
            </w:r>
          </w:p>
        </w:tc>
      </w:tr>
    </w:tbl>
    <w:p w14:paraId="29DF8604" w14:textId="77777777" w:rsidR="0067077B" w:rsidRDefault="0067077B"/>
    <w:p w14:paraId="7F2506B0" w14:textId="77777777" w:rsidR="0067077B" w:rsidRDefault="00000000">
      <w:pPr>
        <w:pStyle w:val="Heading2"/>
      </w:pPr>
      <w:r>
        <w:rPr>
          <w:rFonts w:ascii="Calibri" w:hAnsi="Calibri"/>
          <w:color w:val="0E7C86"/>
        </w:rPr>
        <w:t>Who pays and why</w:t>
      </w:r>
    </w:p>
    <w:p w14:paraId="4A7E99D4" w14:textId="77777777" w:rsidR="0067077B" w:rsidRDefault="00000000">
      <w:pPr>
        <w:pStyle w:val="ListBullet"/>
        <w:spacing w:after="80"/>
      </w:pPr>
      <w:r>
        <w:rPr>
          <w:rFonts w:ascii="Calibri" w:hAnsi="Calibri"/>
          <w:color w:val="475569"/>
          <w:sz w:val="21"/>
        </w:rPr>
        <w:t>Retail operations leaders — for peer benchmarking and underperformance diagnosis</w:t>
      </w:r>
    </w:p>
    <w:p w14:paraId="75E038A6" w14:textId="77777777" w:rsidR="0067077B" w:rsidRDefault="00000000">
      <w:pPr>
        <w:pStyle w:val="ListBullet"/>
        <w:spacing w:after="80"/>
      </w:pPr>
      <w:r>
        <w:rPr>
          <w:rFonts w:ascii="Calibri" w:hAnsi="Calibri"/>
          <w:color w:val="475569"/>
          <w:sz w:val="21"/>
        </w:rPr>
        <w:t>Regional and store managers — for localized improvement priorities</w:t>
      </w:r>
    </w:p>
    <w:p w14:paraId="35EA21F4" w14:textId="77777777" w:rsidR="0067077B" w:rsidRDefault="00000000">
      <w:pPr>
        <w:pStyle w:val="ListBullet"/>
        <w:spacing w:after="80"/>
      </w:pPr>
      <w:r>
        <w:rPr>
          <w:rFonts w:ascii="Calibri" w:hAnsi="Calibri"/>
          <w:color w:val="475569"/>
          <w:sz w:val="21"/>
        </w:rPr>
        <w:lastRenderedPageBreak/>
        <w:t>Merchandising and assortment teams — for store-relevant growth opportunities</w:t>
      </w:r>
    </w:p>
    <w:p w14:paraId="72256BF9" w14:textId="77777777" w:rsidR="0067077B" w:rsidRDefault="00000000">
      <w:pPr>
        <w:pStyle w:val="ListBullet"/>
        <w:spacing w:after="80"/>
      </w:pPr>
      <w:r>
        <w:rPr>
          <w:rFonts w:ascii="Calibri" w:hAnsi="Calibri"/>
          <w:color w:val="475569"/>
          <w:sz w:val="21"/>
        </w:rPr>
        <w:t>CX and marketing teams — for aligning customer voice with store-level action</w:t>
      </w:r>
    </w:p>
    <w:p w14:paraId="20AC2399" w14:textId="77777777" w:rsidR="0067077B" w:rsidRDefault="0067077B"/>
    <w:p w14:paraId="06DE6D0B" w14:textId="77777777" w:rsidR="0067077B" w:rsidRDefault="00000000">
      <w:pPr>
        <w:pStyle w:val="Heading1"/>
      </w:pPr>
      <w:r>
        <w:rPr>
          <w:rFonts w:ascii="Calibri" w:hAnsi="Calibri"/>
          <w:color w:val="1A365D"/>
        </w:rPr>
        <w:t>20. Long-Term Dependency — Will Clients Keep Coming Back?</w:t>
      </w:r>
    </w:p>
    <w:p w14:paraId="1E09E4EA" w14:textId="77777777" w:rsidR="0067077B" w:rsidRDefault="00000000">
      <w:r>
        <w:rPr>
          <w:rFonts w:ascii="Calibri" w:hAnsi="Calibri"/>
          <w:color w:val="475569"/>
        </w:rPr>
        <w:t>Dependency should be evaluated as healthy retention through continued value — not technical lock-in alone.</w:t>
      </w:r>
    </w:p>
    <w:p w14:paraId="7C9F9509" w14:textId="77777777" w:rsidR="0067077B" w:rsidRDefault="00000000">
      <w:pPr>
        <w:pStyle w:val="Heading2"/>
      </w:pPr>
      <w:r>
        <w:rPr>
          <w:rFonts w:ascii="Calibri" w:hAnsi="Calibri"/>
          <w:color w:val="0E7C86"/>
        </w:rPr>
        <w:t>Sources of long-term dependency</w:t>
      </w:r>
    </w:p>
    <w:p w14:paraId="112564AC" w14:textId="77777777" w:rsidR="0067077B" w:rsidRDefault="00000000">
      <w:pPr>
        <w:pStyle w:val="ListNumber"/>
        <w:spacing w:after="120"/>
      </w:pPr>
      <w:r>
        <w:rPr>
          <w:rFonts w:ascii="Calibri" w:hAnsi="Calibri"/>
          <w:b/>
          <w:color w:val="1A365D"/>
          <w:sz w:val="21"/>
        </w:rPr>
        <w:t xml:space="preserve">Data refresh rhythm — </w:t>
      </w:r>
      <w:r>
        <w:rPr>
          <w:rFonts w:ascii="Calibri" w:hAnsi="Calibri"/>
          <w:color w:val="475569"/>
          <w:sz w:val="21"/>
        </w:rPr>
        <w:t>As client store, ops, and market data change, prior fingerprints become stale without the service</w:t>
      </w:r>
    </w:p>
    <w:p w14:paraId="6293CB43" w14:textId="77777777" w:rsidR="0067077B" w:rsidRDefault="00000000">
      <w:pPr>
        <w:pStyle w:val="ListNumber"/>
        <w:spacing w:after="120"/>
      </w:pPr>
      <w:r>
        <w:rPr>
          <w:rFonts w:ascii="Calibri" w:hAnsi="Calibri"/>
          <w:b/>
          <w:color w:val="1A365D"/>
          <w:sz w:val="21"/>
        </w:rPr>
        <w:t xml:space="preserve">Workflow embedding — </w:t>
      </w:r>
      <w:r>
        <w:rPr>
          <w:rFonts w:ascii="Calibri" w:hAnsi="Calibri"/>
          <w:color w:val="475569"/>
          <w:sz w:val="21"/>
        </w:rPr>
        <w:t>Once peer stores and clusters inform planning meetings, the capability becomes part of operating rhythm</w:t>
      </w:r>
    </w:p>
    <w:p w14:paraId="5AE9ACB2" w14:textId="77777777" w:rsidR="0067077B" w:rsidRDefault="00000000">
      <w:pPr>
        <w:pStyle w:val="ListNumber"/>
        <w:spacing w:after="120"/>
      </w:pPr>
      <w:r>
        <w:rPr>
          <w:rFonts w:ascii="Calibri" w:hAnsi="Calibri"/>
          <w:b/>
          <w:color w:val="1A365D"/>
          <w:sz w:val="21"/>
        </w:rPr>
        <w:t xml:space="preserve">Historical comparability — </w:t>
      </w:r>
      <w:r>
        <w:rPr>
          <w:rFonts w:ascii="Calibri" w:hAnsi="Calibri"/>
          <w:color w:val="475569"/>
          <w:sz w:val="21"/>
        </w:rPr>
        <w:t>Clients benefit from tracking how store identity, peer sets, and gaps evolve over time</w:t>
      </w:r>
    </w:p>
    <w:p w14:paraId="5192FCF5" w14:textId="77777777" w:rsidR="0067077B" w:rsidRDefault="00000000">
      <w:pPr>
        <w:pStyle w:val="ListNumber"/>
        <w:spacing w:after="120"/>
      </w:pPr>
      <w:r>
        <w:rPr>
          <w:rFonts w:ascii="Calibri" w:hAnsi="Calibri"/>
          <w:b/>
          <w:color w:val="1A365D"/>
          <w:sz w:val="21"/>
        </w:rPr>
        <w:t xml:space="preserve">Business-language layer — </w:t>
      </w:r>
      <w:r>
        <w:rPr>
          <w:rFonts w:ascii="Calibri" w:hAnsi="Calibri"/>
          <w:color w:val="475569"/>
          <w:sz w:val="21"/>
        </w:rPr>
        <w:t>Non-technical teams depend on translated recommendations, not raw model outputs</w:t>
      </w:r>
    </w:p>
    <w:p w14:paraId="0EFF2A1C" w14:textId="77777777" w:rsidR="0067077B" w:rsidRDefault="00000000">
      <w:pPr>
        <w:pStyle w:val="ListNumber"/>
        <w:spacing w:after="120"/>
      </w:pPr>
      <w:r>
        <w:rPr>
          <w:rFonts w:ascii="Calibri" w:hAnsi="Calibri"/>
          <w:b/>
          <w:color w:val="1A365D"/>
          <w:sz w:val="21"/>
        </w:rPr>
        <w:t xml:space="preserve">Integration depth — </w:t>
      </w:r>
      <w:r>
        <w:rPr>
          <w:rFonts w:ascii="Calibri" w:hAnsi="Calibri"/>
          <w:color w:val="475569"/>
          <w:sz w:val="21"/>
        </w:rPr>
        <w:t>Deeper connection to planning, reporting, and field tools increases switching friction</w:t>
      </w:r>
    </w:p>
    <w:p w14:paraId="6DFF253F" w14:textId="77777777" w:rsidR="0067077B" w:rsidRDefault="00000000">
      <w:pPr>
        <w:pStyle w:val="Heading2"/>
      </w:pPr>
      <w:r>
        <w:rPr>
          <w:rFonts w:ascii="Calibri" w:hAnsi="Calibri"/>
          <w:color w:val="0E7C86"/>
        </w:rPr>
        <w:t>What dependency is not guaranteed</w:t>
      </w:r>
    </w:p>
    <w:p w14:paraId="7044E11D" w14:textId="77777777" w:rsidR="0067077B" w:rsidRDefault="00000000">
      <w:pPr>
        <w:pStyle w:val="ListBullet"/>
        <w:spacing w:after="80"/>
      </w:pPr>
      <w:r>
        <w:rPr>
          <w:rFonts w:ascii="Calibri" w:hAnsi="Calibri"/>
          <w:color w:val="475569"/>
          <w:sz w:val="21"/>
        </w:rPr>
        <w:t>A one-time benchmark report does not create recurring need on its own</w:t>
      </w:r>
    </w:p>
    <w:p w14:paraId="1D7CFFDC" w14:textId="77777777" w:rsidR="0067077B" w:rsidRDefault="00000000">
      <w:pPr>
        <w:pStyle w:val="ListBullet"/>
        <w:spacing w:after="80"/>
      </w:pPr>
      <w:r>
        <w:rPr>
          <w:rFonts w:ascii="Calibri" w:hAnsi="Calibri"/>
          <w:color w:val="475569"/>
          <w:sz w:val="21"/>
        </w:rPr>
        <w:t>Clients with strong internal analytics teams may replicate parts of the capability</w:t>
      </w:r>
    </w:p>
    <w:p w14:paraId="5F706B2B" w14:textId="77777777" w:rsidR="0067077B" w:rsidRDefault="00000000">
      <w:pPr>
        <w:pStyle w:val="ListBullet"/>
        <w:spacing w:after="80"/>
      </w:pPr>
      <w:r>
        <w:rPr>
          <w:rFonts w:ascii="Calibri" w:hAnsi="Calibri"/>
          <w:color w:val="475569"/>
          <w:sz w:val="21"/>
        </w:rPr>
        <w:t>If recommendations are generic or stale, renewal will weaken regardless of platform quality</w:t>
      </w:r>
    </w:p>
    <w:p w14:paraId="76CC3F10" w14:textId="77777777" w:rsidR="0067077B" w:rsidRDefault="00000000">
      <w:pPr>
        <w:pStyle w:val="ListBullet"/>
        <w:spacing w:after="80"/>
      </w:pPr>
      <w:r>
        <w:rPr>
          <w:rFonts w:ascii="Calibri" w:hAnsi="Calibri"/>
          <w:color w:val="475569"/>
          <w:sz w:val="21"/>
        </w:rPr>
        <w:t>Budget owners may classify the service as innovation spend unless ROI is demonstrated</w:t>
      </w:r>
    </w:p>
    <w:tbl>
      <w:tblPr>
        <w:tblStyle w:val="TableGrid"/>
        <w:tblW w:w="0" w:type="auto"/>
        <w:tblLook w:val="04A0" w:firstRow="1" w:lastRow="0" w:firstColumn="1" w:lastColumn="0" w:noHBand="0" w:noVBand="1"/>
      </w:tblPr>
      <w:tblGrid>
        <w:gridCol w:w="4675"/>
        <w:gridCol w:w="4675"/>
      </w:tblGrid>
      <w:tr w:rsidR="0067077B" w14:paraId="3B954789" w14:textId="77777777">
        <w:tc>
          <w:tcPr>
            <w:tcW w:w="4680" w:type="dxa"/>
            <w:shd w:val="clear" w:color="auto" w:fill="F8FAFC"/>
          </w:tcPr>
          <w:p w14:paraId="149C3EFA" w14:textId="77777777" w:rsidR="0067077B" w:rsidRDefault="00000000">
            <w:r>
              <w:rPr>
                <w:rFonts w:ascii="Calibri" w:hAnsi="Calibri"/>
                <w:b/>
                <w:color w:val="1A365D"/>
                <w:sz w:val="20"/>
              </w:rPr>
              <w:t>Retention driver</w:t>
            </w:r>
          </w:p>
        </w:tc>
        <w:tc>
          <w:tcPr>
            <w:tcW w:w="4680" w:type="dxa"/>
            <w:shd w:val="clear" w:color="auto" w:fill="F8FAFC"/>
          </w:tcPr>
          <w:p w14:paraId="4928C188" w14:textId="77777777" w:rsidR="0067077B" w:rsidRDefault="00000000">
            <w:r>
              <w:rPr>
                <w:rFonts w:ascii="Calibri" w:hAnsi="Calibri"/>
                <w:b/>
                <w:color w:val="1A365D"/>
                <w:sz w:val="20"/>
              </w:rPr>
              <w:t>Risk to retention</w:t>
            </w:r>
          </w:p>
        </w:tc>
      </w:tr>
      <w:tr w:rsidR="0067077B" w14:paraId="7D7C4F9C" w14:textId="77777777">
        <w:tc>
          <w:tcPr>
            <w:tcW w:w="4680" w:type="dxa"/>
          </w:tcPr>
          <w:p w14:paraId="68E63765" w14:textId="77777777" w:rsidR="0067077B" w:rsidRDefault="00000000">
            <w:r>
              <w:rPr>
                <w:rFonts w:ascii="Calibri" w:hAnsi="Calibri"/>
                <w:color w:val="475569"/>
                <w:sz w:val="20"/>
              </w:rPr>
              <w:t>Embedded in quarterly store reviews</w:t>
            </w:r>
          </w:p>
        </w:tc>
        <w:tc>
          <w:tcPr>
            <w:tcW w:w="4680" w:type="dxa"/>
          </w:tcPr>
          <w:p w14:paraId="62E81BB8" w14:textId="77777777" w:rsidR="0067077B" w:rsidRDefault="00000000">
            <w:r>
              <w:rPr>
                <w:rFonts w:ascii="Calibri" w:hAnsi="Calibri"/>
                <w:color w:val="475569"/>
                <w:sz w:val="20"/>
              </w:rPr>
              <w:t>Treated as optional analytics experiment</w:t>
            </w:r>
          </w:p>
        </w:tc>
      </w:tr>
      <w:tr w:rsidR="0067077B" w14:paraId="2AC373F5" w14:textId="77777777">
        <w:tc>
          <w:tcPr>
            <w:tcW w:w="4680" w:type="dxa"/>
            <w:shd w:val="clear" w:color="auto" w:fill="F8FAFC"/>
          </w:tcPr>
          <w:p w14:paraId="250717D9" w14:textId="77777777" w:rsidR="0067077B" w:rsidRDefault="00000000">
            <w:r>
              <w:rPr>
                <w:rFonts w:ascii="Calibri" w:hAnsi="Calibri"/>
                <w:color w:val="475569"/>
                <w:sz w:val="20"/>
              </w:rPr>
              <w:t>Clear revenue or ops uplift stories</w:t>
            </w:r>
          </w:p>
        </w:tc>
        <w:tc>
          <w:tcPr>
            <w:tcW w:w="4680" w:type="dxa"/>
            <w:shd w:val="clear" w:color="auto" w:fill="F8FAFC"/>
          </w:tcPr>
          <w:p w14:paraId="1C2AA332" w14:textId="77777777" w:rsidR="0067077B" w:rsidRDefault="00000000">
            <w:r>
              <w:rPr>
                <w:rFonts w:ascii="Calibri" w:hAnsi="Calibri"/>
                <w:color w:val="475569"/>
                <w:sz w:val="20"/>
              </w:rPr>
              <w:t>Perceived as interesting but non-essential</w:t>
            </w:r>
          </w:p>
        </w:tc>
      </w:tr>
      <w:tr w:rsidR="0067077B" w14:paraId="36EDB56C" w14:textId="77777777">
        <w:tc>
          <w:tcPr>
            <w:tcW w:w="4680" w:type="dxa"/>
          </w:tcPr>
          <w:p w14:paraId="274439B9" w14:textId="77777777" w:rsidR="0067077B" w:rsidRDefault="00000000">
            <w:r>
              <w:rPr>
                <w:rFonts w:ascii="Calibri" w:hAnsi="Calibri"/>
                <w:color w:val="475569"/>
                <w:sz w:val="20"/>
              </w:rPr>
              <w:t>Fresh peer and cluster insights each cycle</w:t>
            </w:r>
          </w:p>
        </w:tc>
        <w:tc>
          <w:tcPr>
            <w:tcW w:w="4680" w:type="dxa"/>
          </w:tcPr>
          <w:p w14:paraId="7F673F20" w14:textId="77777777" w:rsidR="0067077B" w:rsidRDefault="00000000">
            <w:r>
              <w:rPr>
                <w:rFonts w:ascii="Calibri" w:hAnsi="Calibri"/>
                <w:color w:val="475569"/>
                <w:sz w:val="20"/>
              </w:rPr>
              <w:t>Static dashboards with no narrative refresh</w:t>
            </w:r>
          </w:p>
        </w:tc>
      </w:tr>
      <w:tr w:rsidR="0067077B" w14:paraId="32A5417A" w14:textId="77777777">
        <w:tc>
          <w:tcPr>
            <w:tcW w:w="4680" w:type="dxa"/>
            <w:shd w:val="clear" w:color="auto" w:fill="F8FAFC"/>
          </w:tcPr>
          <w:p w14:paraId="5855C161" w14:textId="77777777" w:rsidR="0067077B" w:rsidRDefault="00000000">
            <w:r>
              <w:rPr>
                <w:rFonts w:ascii="Calibri" w:hAnsi="Calibri"/>
                <w:color w:val="475569"/>
                <w:sz w:val="20"/>
              </w:rPr>
              <w:t>Champion among regional leadership</w:t>
            </w:r>
          </w:p>
        </w:tc>
        <w:tc>
          <w:tcPr>
            <w:tcW w:w="4680" w:type="dxa"/>
            <w:shd w:val="clear" w:color="auto" w:fill="F8FAFC"/>
          </w:tcPr>
          <w:p w14:paraId="6CE89B93" w14:textId="77777777" w:rsidR="0067077B" w:rsidRDefault="00000000">
            <w:r>
              <w:rPr>
                <w:rFonts w:ascii="Calibri" w:hAnsi="Calibri"/>
                <w:color w:val="475569"/>
                <w:sz w:val="20"/>
              </w:rPr>
              <w:t>No executive sponsor after pilot</w:t>
            </w:r>
          </w:p>
        </w:tc>
      </w:tr>
    </w:tbl>
    <w:p w14:paraId="08CDAE87" w14:textId="77777777" w:rsidR="0067077B" w:rsidRDefault="0067077B"/>
    <w:p w14:paraId="55AD3647" w14:textId="77777777" w:rsidR="0067077B" w:rsidRDefault="00000000">
      <w:pPr>
        <w:pStyle w:val="Heading1"/>
      </w:pPr>
      <w:r>
        <w:rPr>
          <w:rFonts w:ascii="Calibri" w:hAnsi="Calibri"/>
          <w:color w:val="1A365D"/>
        </w:rPr>
        <w:t>21. Revenue Outlook &amp; Commercial Considerations</w:t>
      </w:r>
    </w:p>
    <w:tbl>
      <w:tblPr>
        <w:tblStyle w:val="TableGrid"/>
        <w:tblW w:w="0" w:type="auto"/>
        <w:tblLook w:val="04A0" w:firstRow="1" w:lastRow="0" w:firstColumn="1" w:lastColumn="0" w:noHBand="0" w:noVBand="1"/>
      </w:tblPr>
      <w:tblGrid>
        <w:gridCol w:w="4675"/>
        <w:gridCol w:w="4675"/>
      </w:tblGrid>
      <w:tr w:rsidR="0067077B" w14:paraId="2A5C1A68" w14:textId="77777777">
        <w:tc>
          <w:tcPr>
            <w:tcW w:w="4680" w:type="dxa"/>
            <w:shd w:val="clear" w:color="auto" w:fill="F8FAFC"/>
          </w:tcPr>
          <w:p w14:paraId="71081556" w14:textId="77777777" w:rsidR="0067077B" w:rsidRDefault="00000000">
            <w:r>
              <w:rPr>
                <w:rFonts w:ascii="Calibri" w:hAnsi="Calibri"/>
                <w:b/>
                <w:color w:val="1A365D"/>
                <w:sz w:val="20"/>
              </w:rPr>
              <w:t>Commercial strength</w:t>
            </w:r>
          </w:p>
        </w:tc>
        <w:tc>
          <w:tcPr>
            <w:tcW w:w="4680" w:type="dxa"/>
            <w:shd w:val="clear" w:color="auto" w:fill="F8FAFC"/>
          </w:tcPr>
          <w:p w14:paraId="5E277263" w14:textId="77777777" w:rsidR="0067077B" w:rsidRDefault="00000000">
            <w:r>
              <w:rPr>
                <w:rFonts w:ascii="Calibri" w:hAnsi="Calibri"/>
                <w:b/>
                <w:color w:val="1A365D"/>
                <w:sz w:val="20"/>
              </w:rPr>
              <w:t>Commercial risk</w:t>
            </w:r>
          </w:p>
        </w:tc>
      </w:tr>
      <w:tr w:rsidR="0067077B" w14:paraId="254F2E3F" w14:textId="77777777">
        <w:tc>
          <w:tcPr>
            <w:tcW w:w="4680" w:type="dxa"/>
          </w:tcPr>
          <w:p w14:paraId="2A6DC47A" w14:textId="77777777" w:rsidR="0067077B" w:rsidRDefault="00000000">
            <w:r>
              <w:rPr>
                <w:rFonts w:ascii="Calibri" w:hAnsi="Calibri"/>
                <w:b/>
                <w:color w:val="1A365D"/>
                <w:sz w:val="20"/>
              </w:rPr>
              <w:t>Solves an ongoing management problem</w:t>
            </w:r>
          </w:p>
        </w:tc>
        <w:tc>
          <w:tcPr>
            <w:tcW w:w="4680" w:type="dxa"/>
          </w:tcPr>
          <w:p w14:paraId="501734BE" w14:textId="77777777" w:rsidR="0067077B" w:rsidRDefault="00000000">
            <w:r>
              <w:rPr>
                <w:rFonts w:ascii="Calibri" w:hAnsi="Calibri"/>
                <w:color w:val="475569"/>
                <w:sz w:val="20"/>
              </w:rPr>
              <w:t>Harder to quantify ROI than direct sales uplift tools</w:t>
            </w:r>
          </w:p>
        </w:tc>
      </w:tr>
      <w:tr w:rsidR="0067077B" w14:paraId="0C74EE9A" w14:textId="77777777">
        <w:tc>
          <w:tcPr>
            <w:tcW w:w="4680" w:type="dxa"/>
          </w:tcPr>
          <w:p w14:paraId="69ADFCD4" w14:textId="77777777" w:rsidR="0067077B" w:rsidRDefault="00000000">
            <w:r>
              <w:rPr>
                <w:rFonts w:ascii="Calibri" w:hAnsi="Calibri"/>
                <w:b/>
                <w:color w:val="1A365D"/>
                <w:sz w:val="20"/>
              </w:rPr>
              <w:t>Expandable across banners, regions, and use cases</w:t>
            </w:r>
          </w:p>
        </w:tc>
        <w:tc>
          <w:tcPr>
            <w:tcW w:w="4680" w:type="dxa"/>
          </w:tcPr>
          <w:p w14:paraId="52C937F7" w14:textId="77777777" w:rsidR="0067077B" w:rsidRDefault="00000000">
            <w:r>
              <w:rPr>
                <w:rFonts w:ascii="Calibri" w:hAnsi="Calibri"/>
                <w:color w:val="475569"/>
                <w:sz w:val="20"/>
              </w:rPr>
              <w:t>Long enterprise sales cycles</w:t>
            </w:r>
          </w:p>
        </w:tc>
      </w:tr>
      <w:tr w:rsidR="0067077B" w14:paraId="7FA1A223" w14:textId="77777777">
        <w:tc>
          <w:tcPr>
            <w:tcW w:w="4680" w:type="dxa"/>
          </w:tcPr>
          <w:p w14:paraId="7CF244B0" w14:textId="77777777" w:rsidR="0067077B" w:rsidRDefault="00000000">
            <w:r>
              <w:rPr>
                <w:rFonts w:ascii="Calibri" w:hAnsi="Calibri"/>
                <w:b/>
                <w:color w:val="1A365D"/>
                <w:sz w:val="20"/>
              </w:rPr>
              <w:t>Natural upsell from pilot to network-wide rollout</w:t>
            </w:r>
          </w:p>
        </w:tc>
        <w:tc>
          <w:tcPr>
            <w:tcW w:w="4680" w:type="dxa"/>
          </w:tcPr>
          <w:p w14:paraId="7541FD5C" w14:textId="77777777" w:rsidR="0067077B" w:rsidRDefault="00000000">
            <w:r>
              <w:rPr>
                <w:rFonts w:ascii="Calibri" w:hAnsi="Calibri"/>
                <w:color w:val="475569"/>
                <w:sz w:val="20"/>
              </w:rPr>
              <w:t>Competition from internal data teams and incumbents</w:t>
            </w:r>
          </w:p>
        </w:tc>
      </w:tr>
      <w:tr w:rsidR="0067077B" w14:paraId="7A7715F3" w14:textId="77777777">
        <w:tc>
          <w:tcPr>
            <w:tcW w:w="4680" w:type="dxa"/>
          </w:tcPr>
          <w:p w14:paraId="76D61252" w14:textId="77777777" w:rsidR="0067077B" w:rsidRDefault="00000000">
            <w:r>
              <w:rPr>
                <w:rFonts w:ascii="Calibri" w:hAnsi="Calibri"/>
                <w:b/>
                <w:color w:val="1A365D"/>
                <w:sz w:val="20"/>
              </w:rPr>
              <w:t>Combines platform and advisory revenue</w:t>
            </w:r>
          </w:p>
        </w:tc>
        <w:tc>
          <w:tcPr>
            <w:tcW w:w="4680" w:type="dxa"/>
          </w:tcPr>
          <w:p w14:paraId="0D89CC80" w14:textId="77777777" w:rsidR="0067077B" w:rsidRDefault="00000000">
            <w:r>
              <w:rPr>
                <w:rFonts w:ascii="Calibri" w:hAnsi="Calibri"/>
                <w:color w:val="475569"/>
                <w:sz w:val="20"/>
              </w:rPr>
              <w:t>AI cost must be managed to protect margins</w:t>
            </w:r>
          </w:p>
        </w:tc>
      </w:tr>
    </w:tbl>
    <w:p w14:paraId="4592081C" w14:textId="77777777" w:rsidR="0067077B" w:rsidRDefault="0067077B"/>
    <w:p w14:paraId="0E4DE554" w14:textId="77777777" w:rsidR="0067077B" w:rsidRDefault="0067077B"/>
    <w:p w14:paraId="5D63821C" w14:textId="77777777" w:rsidR="0067077B" w:rsidRDefault="0067077B">
      <w:pPr>
        <w:spacing w:before="160" w:after="120"/>
        <w:jc w:val="center"/>
      </w:pPr>
    </w:p>
    <w:p w14:paraId="4D8347A9" w14:textId="77777777" w:rsidR="0088415D" w:rsidRDefault="00000000">
      <w:r>
        <w:br w:type="page"/>
      </w:r>
    </w:p>
    <w:p w14:paraId="4060EFEB" w14:textId="77777777" w:rsidR="0088415D" w:rsidRPr="00C32B27" w:rsidRDefault="00000000">
      <w:pPr>
        <w:pStyle w:val="Heading1"/>
        <w:rPr>
          <w:color w:val="00B050"/>
          <w:sz w:val="40"/>
          <w:szCs w:val="40"/>
        </w:rPr>
      </w:pPr>
      <w:r w:rsidRPr="00C32B27">
        <w:rPr>
          <w:rFonts w:ascii="Calibri" w:hAnsi="Calibri"/>
          <w:color w:val="00B050"/>
          <w:sz w:val="40"/>
          <w:szCs w:val="40"/>
        </w:rPr>
        <w:lastRenderedPageBreak/>
        <w:t>22. Evaluation Focus 5 — Data Readiness &amp; Maturity</w:t>
      </w:r>
    </w:p>
    <w:tbl>
      <w:tblPr>
        <w:tblStyle w:val="TableGrid"/>
        <w:tblW w:w="0" w:type="auto"/>
        <w:tblLook w:val="04A0" w:firstRow="1" w:lastRow="0" w:firstColumn="1" w:lastColumn="0" w:noHBand="0" w:noVBand="1"/>
      </w:tblPr>
      <w:tblGrid>
        <w:gridCol w:w="4675"/>
        <w:gridCol w:w="4675"/>
      </w:tblGrid>
      <w:tr w:rsidR="0088415D" w14:paraId="555E2E44" w14:textId="77777777">
        <w:tc>
          <w:tcPr>
            <w:tcW w:w="4680" w:type="dxa"/>
            <w:shd w:val="clear" w:color="auto" w:fill="1A365D"/>
          </w:tcPr>
          <w:p w14:paraId="61E0D5D2" w14:textId="77777777" w:rsidR="0088415D" w:rsidRDefault="00000000">
            <w:r>
              <w:rPr>
                <w:rFonts w:ascii="Calibri" w:hAnsi="Calibri"/>
                <w:b/>
                <w:color w:val="FFFFFF"/>
                <w:sz w:val="20"/>
              </w:rPr>
              <w:t>Question under review</w:t>
            </w:r>
          </w:p>
        </w:tc>
        <w:tc>
          <w:tcPr>
            <w:tcW w:w="4680" w:type="dxa"/>
            <w:shd w:val="clear" w:color="auto" w:fill="1A365D"/>
          </w:tcPr>
          <w:p w14:paraId="0977D620" w14:textId="77777777" w:rsidR="0088415D" w:rsidRDefault="00000000">
            <w:r>
              <w:rPr>
                <w:rFonts w:ascii="Calibri" w:hAnsi="Calibri"/>
                <w:b/>
                <w:color w:val="FFFFFF"/>
                <w:sz w:val="20"/>
              </w:rPr>
              <w:t>Assessment</w:t>
            </w:r>
          </w:p>
        </w:tc>
      </w:tr>
      <w:tr w:rsidR="0088415D" w14:paraId="2828B4F6" w14:textId="77777777">
        <w:tc>
          <w:tcPr>
            <w:tcW w:w="4680" w:type="dxa"/>
          </w:tcPr>
          <w:p w14:paraId="639C1BA0" w14:textId="21FB9041" w:rsidR="001C1BFF" w:rsidRPr="001C1BFF" w:rsidRDefault="001C1BFF" w:rsidP="001C1BFF">
            <w:pPr>
              <w:rPr>
                <w:rFonts w:ascii="Calibri" w:hAnsi="Calibri"/>
                <w:color w:val="475569"/>
                <w:sz w:val="20"/>
                <w:lang w:val="en-IN"/>
              </w:rPr>
            </w:pPr>
            <w:r w:rsidRPr="001C1BFF">
              <w:rPr>
                <w:rFonts w:ascii="Aptos" w:eastAsia="Times New Roman" w:hAnsi="Aptos" w:cs="Times New Roman"/>
                <w:sz w:val="24"/>
                <w:szCs w:val="24"/>
                <w:lang w:val="en-IN" w:eastAsia="en-IN"/>
              </w:rPr>
              <w:t xml:space="preserve"> </w:t>
            </w:r>
            <w:r w:rsidRPr="001C1BFF">
              <w:rPr>
                <w:rFonts w:ascii="Calibri" w:hAnsi="Calibri"/>
                <w:color w:val="475569"/>
                <w:sz w:val="20"/>
                <w:lang w:val="en-IN"/>
              </w:rPr>
              <w:t>Data Readiness &amp; maturity – Is the data for building the solution readily and easily available</w:t>
            </w:r>
          </w:p>
          <w:p w14:paraId="1921B9BA" w14:textId="76DCA6EF" w:rsidR="0088415D" w:rsidRDefault="0088415D"/>
        </w:tc>
        <w:tc>
          <w:tcPr>
            <w:tcW w:w="4680" w:type="dxa"/>
          </w:tcPr>
          <w:p w14:paraId="3DDED1F0" w14:textId="77777777" w:rsidR="0088415D" w:rsidRDefault="00000000">
            <w:r>
              <w:rPr>
                <w:rFonts w:ascii="Calibri" w:hAnsi="Calibri"/>
                <w:b/>
                <w:color w:val="0E7C86"/>
              </w:rPr>
              <w:t>Partially — core internal store data usually exists, but unified multimodal access is rarely easy.</w:t>
            </w:r>
          </w:p>
        </w:tc>
      </w:tr>
    </w:tbl>
    <w:p w14:paraId="3CB313DD" w14:textId="77777777" w:rsidR="0088415D" w:rsidRPr="001C1BFF" w:rsidRDefault="0088415D" w:rsidP="001C1BFF">
      <w:pPr>
        <w:spacing w:after="0"/>
        <w:rPr>
          <w:color w:val="1F497D" w:themeColor="text2"/>
        </w:rPr>
      </w:pPr>
    </w:p>
    <w:tbl>
      <w:tblPr>
        <w:tblW w:w="0" w:type="auto"/>
        <w:tblLook w:val="04A0" w:firstRow="1" w:lastRow="0" w:firstColumn="1" w:lastColumn="0" w:noHBand="0" w:noVBand="1"/>
      </w:tblPr>
      <w:tblGrid>
        <w:gridCol w:w="9360"/>
      </w:tblGrid>
      <w:tr w:rsidR="0088415D" w:rsidRPr="001C1BFF" w14:paraId="2E0D65CF" w14:textId="77777777" w:rsidTr="001C1BFF">
        <w:tc>
          <w:tcPr>
            <w:tcW w:w="9360" w:type="dxa"/>
            <w:shd w:val="clear" w:color="auto" w:fill="FFFFFF" w:themeFill="background1"/>
          </w:tcPr>
          <w:p w14:paraId="58218133" w14:textId="77777777" w:rsidR="0088415D" w:rsidRPr="001C1BFF" w:rsidRDefault="00000000" w:rsidP="001C1BFF">
            <w:pPr>
              <w:spacing w:after="0"/>
              <w:rPr>
                <w:color w:val="1F497D" w:themeColor="text2"/>
              </w:rPr>
            </w:pPr>
            <w:r w:rsidRPr="001C1BFF">
              <w:rPr>
                <w:rFonts w:ascii="Calibri" w:hAnsi="Calibri"/>
                <w:b/>
                <w:color w:val="1F497D" w:themeColor="text2"/>
                <w:sz w:val="28"/>
              </w:rPr>
              <w:t>Data exists — integration is the hard part</w:t>
            </w:r>
          </w:p>
          <w:p w14:paraId="186677C4" w14:textId="77777777" w:rsidR="0088415D" w:rsidRPr="001C1BFF" w:rsidRDefault="00000000" w:rsidP="001C1BFF">
            <w:pPr>
              <w:spacing w:after="0"/>
              <w:rPr>
                <w:color w:val="1F497D" w:themeColor="text2"/>
              </w:rPr>
            </w:pPr>
            <w:r w:rsidRPr="001C1BFF">
              <w:rPr>
                <w:rFonts w:ascii="Calibri" w:hAnsi="Calibri"/>
                <w:color w:val="1F497D" w:themeColor="text2"/>
                <w:sz w:val="20"/>
              </w:rPr>
              <w:t>Retailers have the raw ingredients; the challenge is bringing internal and external signals into one trusted store-level view.</w:t>
            </w:r>
          </w:p>
        </w:tc>
      </w:tr>
    </w:tbl>
    <w:p w14:paraId="5307743D" w14:textId="77777777" w:rsidR="0088415D" w:rsidRDefault="0088415D"/>
    <w:p w14:paraId="60033148" w14:textId="77777777" w:rsidR="0088415D" w:rsidRDefault="00000000">
      <w:pPr>
        <w:pStyle w:val="Heading1"/>
      </w:pPr>
      <w:r>
        <w:rPr>
          <w:rFonts w:ascii="Calibri" w:hAnsi="Calibri"/>
          <w:color w:val="1A365D"/>
        </w:rPr>
        <w:t>23. What Data the Problem Requires</w:t>
      </w:r>
    </w:p>
    <w:p w14:paraId="75869149" w14:textId="77777777" w:rsidR="0088415D" w:rsidRDefault="00000000">
      <w:r>
        <w:rPr>
          <w:rFonts w:ascii="Calibri" w:hAnsi="Calibri"/>
          <w:color w:val="475569"/>
        </w:rPr>
        <w:t>StoreDNA depends on combining internal performance signals with external customer and market context at store level. That means the solution needs both structured metrics and unstructured text — all tied to a consistent store identity.</w:t>
      </w:r>
    </w:p>
    <w:tbl>
      <w:tblPr>
        <w:tblStyle w:val="TableGrid"/>
        <w:tblW w:w="0" w:type="auto"/>
        <w:tblLook w:val="04A0" w:firstRow="1" w:lastRow="0" w:firstColumn="1" w:lastColumn="0" w:noHBand="0" w:noVBand="1"/>
      </w:tblPr>
      <w:tblGrid>
        <w:gridCol w:w="3116"/>
        <w:gridCol w:w="3117"/>
        <w:gridCol w:w="3117"/>
      </w:tblGrid>
      <w:tr w:rsidR="0088415D" w14:paraId="48FE29CF" w14:textId="77777777">
        <w:tc>
          <w:tcPr>
            <w:tcW w:w="3120" w:type="dxa"/>
            <w:shd w:val="clear" w:color="auto" w:fill="1A365D"/>
          </w:tcPr>
          <w:p w14:paraId="4680A092" w14:textId="77777777" w:rsidR="0088415D" w:rsidRDefault="00000000">
            <w:r>
              <w:rPr>
                <w:rFonts w:ascii="Calibri" w:hAnsi="Calibri"/>
                <w:b/>
                <w:color w:val="FFFFFF"/>
                <w:sz w:val="20"/>
              </w:rPr>
              <w:t>Data type</w:t>
            </w:r>
          </w:p>
        </w:tc>
        <w:tc>
          <w:tcPr>
            <w:tcW w:w="3120" w:type="dxa"/>
            <w:shd w:val="clear" w:color="auto" w:fill="1A365D"/>
          </w:tcPr>
          <w:p w14:paraId="4F9CCF0A" w14:textId="77777777" w:rsidR="0088415D" w:rsidRDefault="00000000">
            <w:r>
              <w:rPr>
                <w:rFonts w:ascii="Calibri" w:hAnsi="Calibri"/>
                <w:b/>
                <w:color w:val="FFFFFF"/>
                <w:sz w:val="20"/>
              </w:rPr>
              <w:t>Examples</w:t>
            </w:r>
          </w:p>
        </w:tc>
        <w:tc>
          <w:tcPr>
            <w:tcW w:w="3120" w:type="dxa"/>
            <w:shd w:val="clear" w:color="auto" w:fill="1A365D"/>
          </w:tcPr>
          <w:p w14:paraId="4DBF8FD8" w14:textId="77777777" w:rsidR="0088415D" w:rsidRDefault="00000000">
            <w:r>
              <w:rPr>
                <w:rFonts w:ascii="Calibri" w:hAnsi="Calibri"/>
                <w:b/>
                <w:color w:val="FFFFFF"/>
                <w:sz w:val="20"/>
              </w:rPr>
              <w:t>Role in StoreDNA</w:t>
            </w:r>
          </w:p>
        </w:tc>
      </w:tr>
      <w:tr w:rsidR="0088415D" w14:paraId="70119FD0" w14:textId="77777777">
        <w:tc>
          <w:tcPr>
            <w:tcW w:w="3120" w:type="dxa"/>
          </w:tcPr>
          <w:p w14:paraId="5996C9F5" w14:textId="77777777" w:rsidR="0088415D" w:rsidRDefault="00000000">
            <w:r>
              <w:rPr>
                <w:rFonts w:ascii="Calibri" w:hAnsi="Calibri"/>
                <w:b/>
                <w:color w:val="1A365D"/>
                <w:sz w:val="20"/>
              </w:rPr>
              <w:t>Internal structured</w:t>
            </w:r>
          </w:p>
        </w:tc>
        <w:tc>
          <w:tcPr>
            <w:tcW w:w="3120" w:type="dxa"/>
          </w:tcPr>
          <w:p w14:paraId="08CE9B17" w14:textId="77777777" w:rsidR="0088415D" w:rsidRDefault="00000000">
            <w:r>
              <w:rPr>
                <w:rFonts w:ascii="Calibri" w:hAnsi="Calibri"/>
                <w:color w:val="475569"/>
                <w:sz w:val="20"/>
              </w:rPr>
              <w:t>Store master, sales, labor, inventory, assortment, weekly ops KPIs</w:t>
            </w:r>
          </w:p>
        </w:tc>
        <w:tc>
          <w:tcPr>
            <w:tcW w:w="3120" w:type="dxa"/>
          </w:tcPr>
          <w:p w14:paraId="79208816" w14:textId="77777777" w:rsidR="0088415D" w:rsidRDefault="00000000">
            <w:r>
              <w:rPr>
                <w:rFonts w:ascii="Calibri" w:hAnsi="Calibri"/>
                <w:color w:val="475569"/>
                <w:sz w:val="20"/>
              </w:rPr>
              <w:t>Core performance and operational fingerprint</w:t>
            </w:r>
          </w:p>
        </w:tc>
      </w:tr>
      <w:tr w:rsidR="0088415D" w14:paraId="74394F1D" w14:textId="77777777">
        <w:tc>
          <w:tcPr>
            <w:tcW w:w="3120" w:type="dxa"/>
            <w:shd w:val="clear" w:color="auto" w:fill="F8FAFC"/>
          </w:tcPr>
          <w:p w14:paraId="6F2CD716" w14:textId="77777777" w:rsidR="0088415D" w:rsidRDefault="00000000">
            <w:r>
              <w:rPr>
                <w:rFonts w:ascii="Calibri" w:hAnsi="Calibri"/>
                <w:b/>
                <w:color w:val="1A365D"/>
                <w:sz w:val="20"/>
              </w:rPr>
              <w:t>Internal unstructured</w:t>
            </w:r>
          </w:p>
        </w:tc>
        <w:tc>
          <w:tcPr>
            <w:tcW w:w="3120" w:type="dxa"/>
            <w:shd w:val="clear" w:color="auto" w:fill="F8FAFC"/>
          </w:tcPr>
          <w:p w14:paraId="26444FD2" w14:textId="77777777" w:rsidR="0088415D" w:rsidRDefault="00000000">
            <w:r>
              <w:rPr>
                <w:rFonts w:ascii="Calibri" w:hAnsi="Calibri"/>
                <w:color w:val="475569"/>
                <w:sz w:val="20"/>
              </w:rPr>
              <w:t>Audit reports, incident logs, operational notes, product descriptions</w:t>
            </w:r>
          </w:p>
        </w:tc>
        <w:tc>
          <w:tcPr>
            <w:tcW w:w="3120" w:type="dxa"/>
            <w:shd w:val="clear" w:color="auto" w:fill="F8FAFC"/>
          </w:tcPr>
          <w:p w14:paraId="25B6E343" w14:textId="77777777" w:rsidR="0088415D" w:rsidRDefault="00000000">
            <w:r>
              <w:rPr>
                <w:rFonts w:ascii="Calibri" w:hAnsi="Calibri"/>
                <w:color w:val="475569"/>
                <w:sz w:val="20"/>
              </w:rPr>
              <w:t>Context on how the store actually runs</w:t>
            </w:r>
          </w:p>
        </w:tc>
      </w:tr>
      <w:tr w:rsidR="0088415D" w14:paraId="26B638BD" w14:textId="77777777">
        <w:tc>
          <w:tcPr>
            <w:tcW w:w="3120" w:type="dxa"/>
          </w:tcPr>
          <w:p w14:paraId="559CFA34" w14:textId="77777777" w:rsidR="0088415D" w:rsidRDefault="00000000">
            <w:r>
              <w:rPr>
                <w:rFonts w:ascii="Calibri" w:hAnsi="Calibri"/>
                <w:b/>
                <w:color w:val="1A365D"/>
                <w:sz w:val="20"/>
              </w:rPr>
              <w:t>External structured / semi-structured</w:t>
            </w:r>
          </w:p>
        </w:tc>
        <w:tc>
          <w:tcPr>
            <w:tcW w:w="3120" w:type="dxa"/>
          </w:tcPr>
          <w:p w14:paraId="023781AC" w14:textId="77777777" w:rsidR="0088415D" w:rsidRDefault="00000000">
            <w:r>
              <w:rPr>
                <w:rFonts w:ascii="Calibri" w:hAnsi="Calibri"/>
                <w:color w:val="475569"/>
                <w:sz w:val="20"/>
              </w:rPr>
              <w:t>Demographics, trade-area indicators, local competition signals</w:t>
            </w:r>
          </w:p>
        </w:tc>
        <w:tc>
          <w:tcPr>
            <w:tcW w:w="3120" w:type="dxa"/>
          </w:tcPr>
          <w:p w14:paraId="267662BA" w14:textId="77777777" w:rsidR="0088415D" w:rsidRDefault="00000000">
            <w:r>
              <w:rPr>
                <w:rFonts w:ascii="Calibri" w:hAnsi="Calibri"/>
                <w:color w:val="475569"/>
                <w:sz w:val="20"/>
              </w:rPr>
              <w:t>Market and location context</w:t>
            </w:r>
          </w:p>
        </w:tc>
      </w:tr>
      <w:tr w:rsidR="0088415D" w14:paraId="4D36554F" w14:textId="77777777">
        <w:tc>
          <w:tcPr>
            <w:tcW w:w="3120" w:type="dxa"/>
            <w:shd w:val="clear" w:color="auto" w:fill="F8FAFC"/>
          </w:tcPr>
          <w:p w14:paraId="37AB79DC" w14:textId="77777777" w:rsidR="0088415D" w:rsidRDefault="00000000">
            <w:r>
              <w:rPr>
                <w:rFonts w:ascii="Calibri" w:hAnsi="Calibri"/>
                <w:b/>
                <w:color w:val="1A365D"/>
                <w:sz w:val="20"/>
              </w:rPr>
              <w:t>External unstructured</w:t>
            </w:r>
          </w:p>
        </w:tc>
        <w:tc>
          <w:tcPr>
            <w:tcW w:w="3120" w:type="dxa"/>
            <w:shd w:val="clear" w:color="auto" w:fill="F8FAFC"/>
          </w:tcPr>
          <w:p w14:paraId="486EC689" w14:textId="77777777" w:rsidR="0088415D" w:rsidRDefault="00000000">
            <w:r>
              <w:rPr>
                <w:rFonts w:ascii="Calibri" w:hAnsi="Calibri"/>
                <w:color w:val="475569"/>
                <w:sz w:val="20"/>
              </w:rPr>
              <w:t>Customer reviews, local news, public store information</w:t>
            </w:r>
          </w:p>
        </w:tc>
        <w:tc>
          <w:tcPr>
            <w:tcW w:w="3120" w:type="dxa"/>
            <w:shd w:val="clear" w:color="auto" w:fill="F8FAFC"/>
          </w:tcPr>
          <w:p w14:paraId="5CC358E6" w14:textId="77777777" w:rsidR="0088415D" w:rsidRDefault="00000000">
            <w:r>
              <w:rPr>
                <w:rFonts w:ascii="Calibri" w:hAnsi="Calibri"/>
                <w:color w:val="475569"/>
                <w:sz w:val="20"/>
              </w:rPr>
              <w:t>Voice of customer and local market events</w:t>
            </w:r>
          </w:p>
        </w:tc>
      </w:tr>
    </w:tbl>
    <w:p w14:paraId="35ADA1A2" w14:textId="77777777" w:rsidR="0088415D" w:rsidRDefault="0088415D"/>
    <w:p w14:paraId="611E9BBE" w14:textId="77777777" w:rsidR="0088415D" w:rsidRDefault="00000000">
      <w:pPr>
        <w:pStyle w:val="Heading1"/>
      </w:pPr>
      <w:r>
        <w:rPr>
          <w:rFonts w:ascii="Calibri" w:hAnsi="Calibri"/>
          <w:color w:val="1A365D"/>
        </w:rPr>
        <w:t>24. Readiness by Data Category</w:t>
      </w:r>
    </w:p>
    <w:tbl>
      <w:tblPr>
        <w:tblStyle w:val="TableGrid"/>
        <w:tblW w:w="0" w:type="auto"/>
        <w:tblLook w:val="04A0" w:firstRow="1" w:lastRow="0" w:firstColumn="1" w:lastColumn="0" w:noHBand="0" w:noVBand="1"/>
      </w:tblPr>
      <w:tblGrid>
        <w:gridCol w:w="2338"/>
        <w:gridCol w:w="2337"/>
        <w:gridCol w:w="2337"/>
        <w:gridCol w:w="2338"/>
      </w:tblGrid>
      <w:tr w:rsidR="0088415D" w14:paraId="75B38C30" w14:textId="77777777">
        <w:tc>
          <w:tcPr>
            <w:tcW w:w="2340" w:type="dxa"/>
            <w:shd w:val="clear" w:color="auto" w:fill="0E7C86"/>
          </w:tcPr>
          <w:p w14:paraId="6E49A455" w14:textId="77777777" w:rsidR="0088415D" w:rsidRDefault="00000000">
            <w:r>
              <w:rPr>
                <w:rFonts w:ascii="Calibri" w:hAnsi="Calibri"/>
                <w:b/>
                <w:color w:val="FFFFFF"/>
                <w:sz w:val="18"/>
              </w:rPr>
              <w:t>Category</w:t>
            </w:r>
          </w:p>
        </w:tc>
        <w:tc>
          <w:tcPr>
            <w:tcW w:w="2340" w:type="dxa"/>
            <w:shd w:val="clear" w:color="auto" w:fill="0E7C86"/>
          </w:tcPr>
          <w:p w14:paraId="1A3248B1" w14:textId="77777777" w:rsidR="0088415D" w:rsidRDefault="00000000">
            <w:r>
              <w:rPr>
                <w:rFonts w:ascii="Calibri" w:hAnsi="Calibri"/>
                <w:b/>
                <w:color w:val="FFFFFF"/>
                <w:sz w:val="18"/>
              </w:rPr>
              <w:t>Availability</w:t>
            </w:r>
          </w:p>
        </w:tc>
        <w:tc>
          <w:tcPr>
            <w:tcW w:w="2340" w:type="dxa"/>
            <w:shd w:val="clear" w:color="auto" w:fill="0E7C86"/>
          </w:tcPr>
          <w:p w14:paraId="161B72DD" w14:textId="77777777" w:rsidR="0088415D" w:rsidRDefault="00000000">
            <w:r>
              <w:rPr>
                <w:rFonts w:ascii="Calibri" w:hAnsi="Calibri"/>
                <w:b/>
                <w:color w:val="FFFFFF"/>
                <w:sz w:val="18"/>
              </w:rPr>
              <w:t>Ease of access</w:t>
            </w:r>
          </w:p>
        </w:tc>
        <w:tc>
          <w:tcPr>
            <w:tcW w:w="2340" w:type="dxa"/>
            <w:shd w:val="clear" w:color="auto" w:fill="0E7C86"/>
          </w:tcPr>
          <w:p w14:paraId="3612437B" w14:textId="77777777" w:rsidR="0088415D" w:rsidRDefault="00000000">
            <w:r>
              <w:rPr>
                <w:rFonts w:ascii="Calibri" w:hAnsi="Calibri"/>
                <w:b/>
                <w:color w:val="FFFFFF"/>
                <w:sz w:val="18"/>
              </w:rPr>
              <w:t>Readiness rating</w:t>
            </w:r>
          </w:p>
        </w:tc>
      </w:tr>
      <w:tr w:rsidR="0088415D" w14:paraId="39D19E33" w14:textId="77777777">
        <w:tc>
          <w:tcPr>
            <w:tcW w:w="2340" w:type="dxa"/>
          </w:tcPr>
          <w:p w14:paraId="04160AB9" w14:textId="77777777" w:rsidR="0088415D" w:rsidRDefault="00000000">
            <w:r>
              <w:rPr>
                <w:rFonts w:ascii="Calibri" w:hAnsi="Calibri"/>
                <w:b/>
                <w:color w:val="1A365D"/>
                <w:sz w:val="19"/>
              </w:rPr>
              <w:t>Store master &amp; identity</w:t>
            </w:r>
          </w:p>
        </w:tc>
        <w:tc>
          <w:tcPr>
            <w:tcW w:w="2340" w:type="dxa"/>
          </w:tcPr>
          <w:p w14:paraId="5CA6034B" w14:textId="77777777" w:rsidR="0088415D" w:rsidRDefault="00000000">
            <w:r>
              <w:rPr>
                <w:rFonts w:ascii="Calibri" w:hAnsi="Calibri"/>
                <w:color w:val="475569"/>
                <w:sz w:val="19"/>
              </w:rPr>
              <w:t>High</w:t>
            </w:r>
          </w:p>
        </w:tc>
        <w:tc>
          <w:tcPr>
            <w:tcW w:w="2340" w:type="dxa"/>
          </w:tcPr>
          <w:p w14:paraId="67D934E7" w14:textId="77777777" w:rsidR="0088415D" w:rsidRDefault="00000000">
            <w:r>
              <w:rPr>
                <w:rFonts w:ascii="Calibri" w:hAnsi="Calibri"/>
                <w:color w:val="475569"/>
                <w:sz w:val="19"/>
              </w:rPr>
              <w:t>Medium</w:t>
            </w:r>
          </w:p>
        </w:tc>
        <w:tc>
          <w:tcPr>
            <w:tcW w:w="2340" w:type="dxa"/>
          </w:tcPr>
          <w:p w14:paraId="12CF67E6" w14:textId="77777777" w:rsidR="0088415D" w:rsidRDefault="00000000">
            <w:r>
              <w:rPr>
                <w:rFonts w:ascii="Calibri" w:hAnsi="Calibri"/>
                <w:color w:val="475569"/>
                <w:sz w:val="19"/>
              </w:rPr>
              <w:t>Strong — usually exists, but naming and hierarchy vary by client</w:t>
            </w:r>
          </w:p>
        </w:tc>
      </w:tr>
      <w:tr w:rsidR="0088415D" w14:paraId="238C4E38" w14:textId="77777777">
        <w:tc>
          <w:tcPr>
            <w:tcW w:w="2340" w:type="dxa"/>
            <w:shd w:val="clear" w:color="auto" w:fill="F8FAFC"/>
          </w:tcPr>
          <w:p w14:paraId="39AED47B" w14:textId="77777777" w:rsidR="0088415D" w:rsidRDefault="00000000">
            <w:r>
              <w:rPr>
                <w:rFonts w:ascii="Calibri" w:hAnsi="Calibri"/>
                <w:b/>
                <w:color w:val="1A365D"/>
                <w:sz w:val="19"/>
              </w:rPr>
              <w:t>Internal performance &amp; ops</w:t>
            </w:r>
          </w:p>
        </w:tc>
        <w:tc>
          <w:tcPr>
            <w:tcW w:w="2340" w:type="dxa"/>
            <w:shd w:val="clear" w:color="auto" w:fill="F8FAFC"/>
          </w:tcPr>
          <w:p w14:paraId="031A573E" w14:textId="77777777" w:rsidR="0088415D" w:rsidRDefault="00000000">
            <w:r>
              <w:rPr>
                <w:rFonts w:ascii="Calibri" w:hAnsi="Calibri"/>
                <w:color w:val="475569"/>
                <w:sz w:val="19"/>
              </w:rPr>
              <w:t>High</w:t>
            </w:r>
          </w:p>
        </w:tc>
        <w:tc>
          <w:tcPr>
            <w:tcW w:w="2340" w:type="dxa"/>
            <w:shd w:val="clear" w:color="auto" w:fill="F8FAFC"/>
          </w:tcPr>
          <w:p w14:paraId="24918FDC" w14:textId="77777777" w:rsidR="0088415D" w:rsidRDefault="00000000">
            <w:r>
              <w:rPr>
                <w:rFonts w:ascii="Calibri" w:hAnsi="Calibri"/>
                <w:color w:val="475569"/>
                <w:sz w:val="19"/>
              </w:rPr>
              <w:t>Low–Medium</w:t>
            </w:r>
          </w:p>
        </w:tc>
        <w:tc>
          <w:tcPr>
            <w:tcW w:w="2340" w:type="dxa"/>
            <w:shd w:val="clear" w:color="auto" w:fill="F8FAFC"/>
          </w:tcPr>
          <w:p w14:paraId="7F48B673" w14:textId="77777777" w:rsidR="0088415D" w:rsidRDefault="00000000">
            <w:r>
              <w:rPr>
                <w:rFonts w:ascii="Calibri" w:hAnsi="Calibri"/>
                <w:color w:val="475569"/>
                <w:sz w:val="19"/>
              </w:rPr>
              <w:t>Moderate — data exists, but sits across POS, HR, supply chain, and reporting systems</w:t>
            </w:r>
          </w:p>
        </w:tc>
      </w:tr>
      <w:tr w:rsidR="0088415D" w14:paraId="62843CCD" w14:textId="77777777">
        <w:tc>
          <w:tcPr>
            <w:tcW w:w="2340" w:type="dxa"/>
          </w:tcPr>
          <w:p w14:paraId="58A1784F" w14:textId="77777777" w:rsidR="0088415D" w:rsidRDefault="00000000">
            <w:r>
              <w:rPr>
                <w:rFonts w:ascii="Calibri" w:hAnsi="Calibri"/>
                <w:b/>
                <w:color w:val="1A365D"/>
                <w:sz w:val="19"/>
              </w:rPr>
              <w:t>Assortment &amp; product context</w:t>
            </w:r>
          </w:p>
        </w:tc>
        <w:tc>
          <w:tcPr>
            <w:tcW w:w="2340" w:type="dxa"/>
          </w:tcPr>
          <w:p w14:paraId="459150DB" w14:textId="77777777" w:rsidR="0088415D" w:rsidRDefault="00000000">
            <w:r>
              <w:rPr>
                <w:rFonts w:ascii="Calibri" w:hAnsi="Calibri"/>
                <w:color w:val="475569"/>
                <w:sz w:val="19"/>
              </w:rPr>
              <w:t>Medium–High</w:t>
            </w:r>
          </w:p>
        </w:tc>
        <w:tc>
          <w:tcPr>
            <w:tcW w:w="2340" w:type="dxa"/>
          </w:tcPr>
          <w:p w14:paraId="72D7B972" w14:textId="77777777" w:rsidR="0088415D" w:rsidRDefault="00000000">
            <w:r>
              <w:rPr>
                <w:rFonts w:ascii="Calibri" w:hAnsi="Calibri"/>
                <w:color w:val="475569"/>
                <w:sz w:val="19"/>
              </w:rPr>
              <w:t>Medium</w:t>
            </w:r>
          </w:p>
        </w:tc>
        <w:tc>
          <w:tcPr>
            <w:tcW w:w="2340" w:type="dxa"/>
          </w:tcPr>
          <w:p w14:paraId="58F24D16" w14:textId="77777777" w:rsidR="0088415D" w:rsidRDefault="00000000">
            <w:r>
              <w:rPr>
                <w:rFonts w:ascii="Calibri" w:hAnsi="Calibri"/>
                <w:color w:val="475569"/>
                <w:sz w:val="19"/>
              </w:rPr>
              <w:t>Moderate — available for many retailers, granularity differs by category and banner</w:t>
            </w:r>
          </w:p>
        </w:tc>
      </w:tr>
      <w:tr w:rsidR="0088415D" w14:paraId="41DF76C6" w14:textId="77777777">
        <w:tc>
          <w:tcPr>
            <w:tcW w:w="2340" w:type="dxa"/>
            <w:shd w:val="clear" w:color="auto" w:fill="F8FAFC"/>
          </w:tcPr>
          <w:p w14:paraId="061D6F53" w14:textId="77777777" w:rsidR="0088415D" w:rsidRDefault="00000000">
            <w:r>
              <w:rPr>
                <w:rFonts w:ascii="Calibri" w:hAnsi="Calibri"/>
                <w:b/>
                <w:color w:val="1A365D"/>
                <w:sz w:val="19"/>
              </w:rPr>
              <w:t>Customer voice &amp; external context</w:t>
            </w:r>
          </w:p>
        </w:tc>
        <w:tc>
          <w:tcPr>
            <w:tcW w:w="2340" w:type="dxa"/>
            <w:shd w:val="clear" w:color="auto" w:fill="F8FAFC"/>
          </w:tcPr>
          <w:p w14:paraId="32447761" w14:textId="77777777" w:rsidR="0088415D" w:rsidRDefault="00000000">
            <w:r>
              <w:rPr>
                <w:rFonts w:ascii="Calibri" w:hAnsi="Calibri"/>
                <w:color w:val="475569"/>
                <w:sz w:val="19"/>
              </w:rPr>
              <w:t>Medium</w:t>
            </w:r>
          </w:p>
        </w:tc>
        <w:tc>
          <w:tcPr>
            <w:tcW w:w="2340" w:type="dxa"/>
            <w:shd w:val="clear" w:color="auto" w:fill="F8FAFC"/>
          </w:tcPr>
          <w:p w14:paraId="07A48EDF" w14:textId="77777777" w:rsidR="0088415D" w:rsidRDefault="00000000">
            <w:r>
              <w:rPr>
                <w:rFonts w:ascii="Calibri" w:hAnsi="Calibri"/>
                <w:color w:val="475569"/>
                <w:sz w:val="19"/>
              </w:rPr>
              <w:t>Low</w:t>
            </w:r>
          </w:p>
        </w:tc>
        <w:tc>
          <w:tcPr>
            <w:tcW w:w="2340" w:type="dxa"/>
            <w:shd w:val="clear" w:color="auto" w:fill="F8FAFC"/>
          </w:tcPr>
          <w:p w14:paraId="4F09B131" w14:textId="77777777" w:rsidR="0088415D" w:rsidRDefault="00000000">
            <w:r>
              <w:rPr>
                <w:rFonts w:ascii="Calibri" w:hAnsi="Calibri"/>
                <w:color w:val="475569"/>
                <w:sz w:val="19"/>
              </w:rPr>
              <w:t>Weak to moderate — accessible through vendors or public sources, but rarely client-ready</w:t>
            </w:r>
          </w:p>
        </w:tc>
      </w:tr>
    </w:tbl>
    <w:p w14:paraId="34DC58D5" w14:textId="77777777" w:rsidR="0088415D" w:rsidRDefault="0088415D"/>
    <w:p w14:paraId="0448A120" w14:textId="77777777" w:rsidR="0088415D" w:rsidRDefault="00000000">
      <w:pPr>
        <w:pStyle w:val="Heading2"/>
      </w:pPr>
      <w:r>
        <w:rPr>
          <w:rFonts w:ascii="Calibri" w:hAnsi="Calibri"/>
          <w:color w:val="0E7C86"/>
        </w:rPr>
        <w:lastRenderedPageBreak/>
        <w:t>What is usually easy to obtain</w:t>
      </w:r>
    </w:p>
    <w:p w14:paraId="7159EF83" w14:textId="77777777" w:rsidR="0088415D" w:rsidRDefault="00000000">
      <w:pPr>
        <w:pStyle w:val="ListBullet"/>
        <w:spacing w:after="80"/>
      </w:pPr>
      <w:r>
        <w:rPr>
          <w:rFonts w:ascii="Calibri" w:hAnsi="Calibri"/>
          <w:color w:val="475569"/>
          <w:sz w:val="21"/>
        </w:rPr>
        <w:t>Store list with location, format, and basic hierarchy</w:t>
      </w:r>
    </w:p>
    <w:p w14:paraId="224658D9" w14:textId="77777777" w:rsidR="0088415D" w:rsidRDefault="00000000">
      <w:pPr>
        <w:pStyle w:val="ListBullet"/>
        <w:spacing w:after="80"/>
      </w:pPr>
      <w:r>
        <w:rPr>
          <w:rFonts w:ascii="Calibri" w:hAnsi="Calibri"/>
          <w:color w:val="475569"/>
          <w:sz w:val="21"/>
        </w:rPr>
        <w:t>Sales and operational KPIs at store level</w:t>
      </w:r>
    </w:p>
    <w:p w14:paraId="7FCB31CE" w14:textId="77777777" w:rsidR="0088415D" w:rsidRDefault="00000000">
      <w:pPr>
        <w:pStyle w:val="ListBullet"/>
        <w:spacing w:after="80"/>
      </w:pPr>
      <w:r>
        <w:rPr>
          <w:rFonts w:ascii="Calibri" w:hAnsi="Calibri"/>
          <w:color w:val="475569"/>
          <w:sz w:val="21"/>
        </w:rPr>
        <w:t>Product and assortment information for large retailers</w:t>
      </w:r>
    </w:p>
    <w:p w14:paraId="314295C9" w14:textId="77777777" w:rsidR="0088415D" w:rsidRDefault="00000000">
      <w:pPr>
        <w:pStyle w:val="ListBullet"/>
        <w:spacing w:after="80"/>
      </w:pPr>
      <w:r>
        <w:rPr>
          <w:rFonts w:ascii="Calibri" w:hAnsi="Calibri"/>
          <w:color w:val="475569"/>
          <w:sz w:val="21"/>
        </w:rPr>
        <w:t>Historical reporting already used in performance management</w:t>
      </w:r>
    </w:p>
    <w:p w14:paraId="627913DD" w14:textId="77777777" w:rsidR="0088415D" w:rsidRDefault="00000000">
      <w:pPr>
        <w:pStyle w:val="Heading2"/>
      </w:pPr>
      <w:r>
        <w:rPr>
          <w:rFonts w:ascii="Calibri" w:hAnsi="Calibri"/>
          <w:color w:val="0E7C86"/>
        </w:rPr>
        <w:t>What is usually difficult to obtain</w:t>
      </w:r>
    </w:p>
    <w:p w14:paraId="59FBE8F0" w14:textId="77777777" w:rsidR="0088415D" w:rsidRDefault="00000000">
      <w:pPr>
        <w:pStyle w:val="ListBullet"/>
        <w:spacing w:after="80"/>
      </w:pPr>
      <w:r>
        <w:rPr>
          <w:rFonts w:ascii="Calibri" w:hAnsi="Calibri"/>
          <w:color w:val="475569"/>
          <w:sz w:val="21"/>
        </w:rPr>
        <w:t>One unified store-level dataset spanning all required domains</w:t>
      </w:r>
    </w:p>
    <w:p w14:paraId="30242F5B" w14:textId="77777777" w:rsidR="0088415D" w:rsidRDefault="00000000">
      <w:pPr>
        <w:pStyle w:val="ListBullet"/>
        <w:spacing w:after="80"/>
      </w:pPr>
      <w:r>
        <w:rPr>
          <w:rFonts w:ascii="Calibri" w:hAnsi="Calibri"/>
          <w:color w:val="475569"/>
          <w:sz w:val="21"/>
        </w:rPr>
        <w:t>Clean unstructured text linked reliably to the right store</w:t>
      </w:r>
    </w:p>
    <w:p w14:paraId="77398CAC" w14:textId="77777777" w:rsidR="0088415D" w:rsidRDefault="00000000">
      <w:pPr>
        <w:pStyle w:val="ListBullet"/>
        <w:spacing w:after="80"/>
      </w:pPr>
      <w:r>
        <w:rPr>
          <w:rFonts w:ascii="Calibri" w:hAnsi="Calibri"/>
          <w:color w:val="475569"/>
          <w:sz w:val="21"/>
        </w:rPr>
        <w:t>Consistent external customer and local-market signals across regions</w:t>
      </w:r>
    </w:p>
    <w:p w14:paraId="75D6A1C9" w14:textId="77777777" w:rsidR="0088415D" w:rsidRDefault="00000000">
      <w:pPr>
        <w:pStyle w:val="ListBullet"/>
        <w:spacing w:after="80"/>
      </w:pPr>
      <w:r>
        <w:rPr>
          <w:rFonts w:ascii="Calibri" w:hAnsi="Calibri"/>
          <w:color w:val="475569"/>
          <w:sz w:val="21"/>
        </w:rPr>
        <w:t>Timely refresh with agreed data quality and ownership rules</w:t>
      </w:r>
    </w:p>
    <w:p w14:paraId="777C2251" w14:textId="77777777" w:rsidR="0088415D" w:rsidRDefault="00000000">
      <w:pPr>
        <w:pStyle w:val="Heading1"/>
      </w:pPr>
      <w:r>
        <w:rPr>
          <w:rFonts w:ascii="Calibri" w:hAnsi="Calibri"/>
          <w:color w:val="1A365D"/>
        </w:rPr>
        <w:t>25. Data Maturity Assessment</w:t>
      </w:r>
    </w:p>
    <w:p w14:paraId="703D705D" w14:textId="77777777" w:rsidR="0088415D" w:rsidRDefault="00000000">
      <w:r>
        <w:rPr>
          <w:rFonts w:ascii="Calibri" w:hAnsi="Calibri"/>
          <w:color w:val="475569"/>
        </w:rPr>
        <w:t>Readiness is not only about whether data exists. Maturity depends on whether retailers can use it repeatably, safely, and at the level of quality required for AI-driven store fingerprints.</w:t>
      </w:r>
    </w:p>
    <w:tbl>
      <w:tblPr>
        <w:tblStyle w:val="TableGrid"/>
        <w:tblW w:w="0" w:type="auto"/>
        <w:tblLook w:val="04A0" w:firstRow="1" w:lastRow="0" w:firstColumn="1" w:lastColumn="0" w:noHBand="0" w:noVBand="1"/>
      </w:tblPr>
      <w:tblGrid>
        <w:gridCol w:w="3116"/>
        <w:gridCol w:w="3117"/>
        <w:gridCol w:w="3117"/>
      </w:tblGrid>
      <w:tr w:rsidR="0088415D" w14:paraId="7C5DD5E8" w14:textId="77777777">
        <w:tc>
          <w:tcPr>
            <w:tcW w:w="3120" w:type="dxa"/>
            <w:shd w:val="clear" w:color="auto" w:fill="1A365D"/>
          </w:tcPr>
          <w:p w14:paraId="000C9234" w14:textId="77777777" w:rsidR="0088415D" w:rsidRDefault="00000000">
            <w:r>
              <w:rPr>
                <w:rFonts w:ascii="Calibri" w:hAnsi="Calibri"/>
                <w:b/>
                <w:color w:val="FFFFFF"/>
                <w:sz w:val="20"/>
              </w:rPr>
              <w:t>Maturity dimension</w:t>
            </w:r>
          </w:p>
        </w:tc>
        <w:tc>
          <w:tcPr>
            <w:tcW w:w="3120" w:type="dxa"/>
            <w:shd w:val="clear" w:color="auto" w:fill="1A365D"/>
          </w:tcPr>
          <w:p w14:paraId="7D519673" w14:textId="77777777" w:rsidR="0088415D" w:rsidRDefault="00000000">
            <w:r>
              <w:rPr>
                <w:rFonts w:ascii="Calibri" w:hAnsi="Calibri"/>
                <w:b/>
                <w:color w:val="FFFFFF"/>
                <w:sz w:val="20"/>
              </w:rPr>
              <w:t>Typical retail state</w:t>
            </w:r>
          </w:p>
        </w:tc>
        <w:tc>
          <w:tcPr>
            <w:tcW w:w="3120" w:type="dxa"/>
            <w:shd w:val="clear" w:color="auto" w:fill="1A365D"/>
          </w:tcPr>
          <w:p w14:paraId="3E05B782" w14:textId="77777777" w:rsidR="0088415D" w:rsidRDefault="00000000">
            <w:r>
              <w:rPr>
                <w:rFonts w:ascii="Calibri" w:hAnsi="Calibri"/>
                <w:b/>
                <w:color w:val="FFFFFF"/>
                <w:sz w:val="20"/>
              </w:rPr>
              <w:t>Implication for StoreDNA</w:t>
            </w:r>
          </w:p>
        </w:tc>
      </w:tr>
      <w:tr w:rsidR="0088415D" w14:paraId="0F43A25D" w14:textId="77777777">
        <w:tc>
          <w:tcPr>
            <w:tcW w:w="3120" w:type="dxa"/>
          </w:tcPr>
          <w:p w14:paraId="36E423C3" w14:textId="77777777" w:rsidR="0088415D" w:rsidRDefault="00000000">
            <w:r>
              <w:rPr>
                <w:rFonts w:ascii="Calibri" w:hAnsi="Calibri"/>
                <w:b/>
                <w:color w:val="1A365D"/>
                <w:sz w:val="20"/>
              </w:rPr>
              <w:t>Availability</w:t>
            </w:r>
          </w:p>
        </w:tc>
        <w:tc>
          <w:tcPr>
            <w:tcW w:w="3120" w:type="dxa"/>
          </w:tcPr>
          <w:p w14:paraId="693CBAB1" w14:textId="77777777" w:rsidR="0088415D" w:rsidRDefault="00000000">
            <w:r>
              <w:rPr>
                <w:rFonts w:ascii="Calibri" w:hAnsi="Calibri"/>
                <w:color w:val="475569"/>
                <w:sz w:val="20"/>
              </w:rPr>
              <w:t>Core internal data usually present</w:t>
            </w:r>
          </w:p>
        </w:tc>
        <w:tc>
          <w:tcPr>
            <w:tcW w:w="3120" w:type="dxa"/>
          </w:tcPr>
          <w:p w14:paraId="59D303BF" w14:textId="77777777" w:rsidR="0088415D" w:rsidRDefault="00000000">
            <w:r>
              <w:rPr>
                <w:rFonts w:ascii="Calibri" w:hAnsi="Calibri"/>
                <w:color w:val="475569"/>
                <w:sz w:val="20"/>
              </w:rPr>
              <w:t>Enough to start, but rarely complete on day one</w:t>
            </w:r>
          </w:p>
        </w:tc>
      </w:tr>
      <w:tr w:rsidR="0088415D" w14:paraId="1DCFFB59" w14:textId="77777777">
        <w:tc>
          <w:tcPr>
            <w:tcW w:w="3120" w:type="dxa"/>
            <w:shd w:val="clear" w:color="auto" w:fill="F8FAFC"/>
          </w:tcPr>
          <w:p w14:paraId="30B87372" w14:textId="77777777" w:rsidR="0088415D" w:rsidRDefault="00000000">
            <w:r>
              <w:rPr>
                <w:rFonts w:ascii="Calibri" w:hAnsi="Calibri"/>
                <w:b/>
                <w:color w:val="1A365D"/>
                <w:sz w:val="20"/>
              </w:rPr>
              <w:t>Accessibility</w:t>
            </w:r>
          </w:p>
        </w:tc>
        <w:tc>
          <w:tcPr>
            <w:tcW w:w="3120" w:type="dxa"/>
            <w:shd w:val="clear" w:color="auto" w:fill="F8FAFC"/>
          </w:tcPr>
          <w:p w14:paraId="2F31B5F4" w14:textId="77777777" w:rsidR="0088415D" w:rsidRDefault="00000000">
            <w:r>
              <w:rPr>
                <w:rFonts w:ascii="Calibri" w:hAnsi="Calibri"/>
                <w:color w:val="475569"/>
                <w:sz w:val="20"/>
              </w:rPr>
              <w:t>Fragmented across systems and teams</w:t>
            </w:r>
          </w:p>
        </w:tc>
        <w:tc>
          <w:tcPr>
            <w:tcW w:w="3120" w:type="dxa"/>
            <w:shd w:val="clear" w:color="auto" w:fill="F8FAFC"/>
          </w:tcPr>
          <w:p w14:paraId="211E2DCE" w14:textId="77777777" w:rsidR="0088415D" w:rsidRDefault="00000000">
            <w:r>
              <w:rPr>
                <w:rFonts w:ascii="Calibri" w:hAnsi="Calibri"/>
                <w:color w:val="475569"/>
                <w:sz w:val="20"/>
              </w:rPr>
              <w:t>Integration effort is a major dependency</w:t>
            </w:r>
          </w:p>
        </w:tc>
      </w:tr>
      <w:tr w:rsidR="0088415D" w14:paraId="3B34A3FA" w14:textId="77777777">
        <w:tc>
          <w:tcPr>
            <w:tcW w:w="3120" w:type="dxa"/>
          </w:tcPr>
          <w:p w14:paraId="4EEA520F" w14:textId="77777777" w:rsidR="0088415D" w:rsidRDefault="00000000">
            <w:r>
              <w:rPr>
                <w:rFonts w:ascii="Calibri" w:hAnsi="Calibri"/>
                <w:b/>
                <w:color w:val="1A365D"/>
                <w:sz w:val="20"/>
              </w:rPr>
              <w:t>Quality &amp; consistency</w:t>
            </w:r>
          </w:p>
        </w:tc>
        <w:tc>
          <w:tcPr>
            <w:tcW w:w="3120" w:type="dxa"/>
          </w:tcPr>
          <w:p w14:paraId="0E5AE34B" w14:textId="77777777" w:rsidR="0088415D" w:rsidRDefault="00000000">
            <w:r>
              <w:rPr>
                <w:rFonts w:ascii="Calibri" w:hAnsi="Calibri"/>
                <w:color w:val="475569"/>
                <w:sz w:val="20"/>
              </w:rPr>
              <w:t>Variable by source and region</w:t>
            </w:r>
          </w:p>
        </w:tc>
        <w:tc>
          <w:tcPr>
            <w:tcW w:w="3120" w:type="dxa"/>
          </w:tcPr>
          <w:p w14:paraId="4FCE5F8E" w14:textId="77777777" w:rsidR="0088415D" w:rsidRDefault="00000000">
            <w:r>
              <w:rPr>
                <w:rFonts w:ascii="Calibri" w:hAnsi="Calibri"/>
                <w:color w:val="475569"/>
                <w:sz w:val="20"/>
              </w:rPr>
              <w:t>Fingerprint quality depends on harmonization rules</w:t>
            </w:r>
          </w:p>
        </w:tc>
      </w:tr>
      <w:tr w:rsidR="0088415D" w14:paraId="78D43A57" w14:textId="77777777">
        <w:tc>
          <w:tcPr>
            <w:tcW w:w="3120" w:type="dxa"/>
            <w:shd w:val="clear" w:color="auto" w:fill="F8FAFC"/>
          </w:tcPr>
          <w:p w14:paraId="6D837C0B" w14:textId="77777777" w:rsidR="0088415D" w:rsidRDefault="00000000">
            <w:r>
              <w:rPr>
                <w:rFonts w:ascii="Calibri" w:hAnsi="Calibri"/>
                <w:b/>
                <w:color w:val="1A365D"/>
                <w:sz w:val="20"/>
              </w:rPr>
              <w:t>Governance &amp; privacy</w:t>
            </w:r>
          </w:p>
        </w:tc>
        <w:tc>
          <w:tcPr>
            <w:tcW w:w="3120" w:type="dxa"/>
            <w:shd w:val="clear" w:color="auto" w:fill="F8FAFC"/>
          </w:tcPr>
          <w:p w14:paraId="683AA41C" w14:textId="77777777" w:rsidR="0088415D" w:rsidRDefault="00000000">
            <w:r>
              <w:rPr>
                <w:rFonts w:ascii="Calibri" w:hAnsi="Calibri"/>
                <w:color w:val="475569"/>
                <w:sz w:val="20"/>
              </w:rPr>
              <w:t>Strong in enterprise retail</w:t>
            </w:r>
          </w:p>
        </w:tc>
        <w:tc>
          <w:tcPr>
            <w:tcW w:w="3120" w:type="dxa"/>
            <w:shd w:val="clear" w:color="auto" w:fill="F8FAFC"/>
          </w:tcPr>
          <w:p w14:paraId="2CB6B897" w14:textId="77777777" w:rsidR="0088415D" w:rsidRDefault="00000000">
            <w:r>
              <w:rPr>
                <w:rFonts w:ascii="Calibri" w:hAnsi="Calibri"/>
                <w:color w:val="475569"/>
                <w:sz w:val="20"/>
              </w:rPr>
              <w:t>External and customer-linked data needs formal approval</w:t>
            </w:r>
          </w:p>
        </w:tc>
      </w:tr>
      <w:tr w:rsidR="0088415D" w14:paraId="16467A7D" w14:textId="77777777">
        <w:tc>
          <w:tcPr>
            <w:tcW w:w="3120" w:type="dxa"/>
          </w:tcPr>
          <w:p w14:paraId="00CF125F" w14:textId="77777777" w:rsidR="0088415D" w:rsidRDefault="00000000">
            <w:r>
              <w:rPr>
                <w:rFonts w:ascii="Calibri" w:hAnsi="Calibri"/>
                <w:b/>
                <w:color w:val="1A365D"/>
                <w:sz w:val="20"/>
              </w:rPr>
              <w:t>Freshness</w:t>
            </w:r>
          </w:p>
        </w:tc>
        <w:tc>
          <w:tcPr>
            <w:tcW w:w="3120" w:type="dxa"/>
          </w:tcPr>
          <w:p w14:paraId="2300763E" w14:textId="77777777" w:rsidR="0088415D" w:rsidRDefault="00000000">
            <w:r>
              <w:rPr>
                <w:rFonts w:ascii="Calibri" w:hAnsi="Calibri"/>
                <w:color w:val="475569"/>
                <w:sz w:val="20"/>
              </w:rPr>
              <w:t>Ops data may be weekly; external data may be irregular</w:t>
            </w:r>
          </w:p>
        </w:tc>
        <w:tc>
          <w:tcPr>
            <w:tcW w:w="3120" w:type="dxa"/>
          </w:tcPr>
          <w:p w14:paraId="63C4F70C" w14:textId="77777777" w:rsidR="0088415D" w:rsidRDefault="00000000">
            <w:r>
              <w:rPr>
                <w:rFonts w:ascii="Calibri" w:hAnsi="Calibri"/>
                <w:color w:val="475569"/>
                <w:sz w:val="20"/>
              </w:rPr>
              <w:t>Refresh design must match how stores actually change</w:t>
            </w:r>
          </w:p>
        </w:tc>
      </w:tr>
    </w:tbl>
    <w:p w14:paraId="28D5D797" w14:textId="77777777" w:rsidR="0088415D" w:rsidRDefault="0088415D"/>
    <w:p w14:paraId="2EBC8EF4" w14:textId="77777777" w:rsidR="0088415D" w:rsidRDefault="00000000">
      <w:pPr>
        <w:pStyle w:val="Heading2"/>
      </w:pPr>
      <w:r>
        <w:rPr>
          <w:rFonts w:ascii="Calibri" w:hAnsi="Calibri"/>
          <w:color w:val="0E7C86"/>
        </w:rPr>
        <w:t>Maturity by client profile</w:t>
      </w:r>
    </w:p>
    <w:tbl>
      <w:tblPr>
        <w:tblStyle w:val="TableGrid"/>
        <w:tblW w:w="0" w:type="auto"/>
        <w:tblLook w:val="04A0" w:firstRow="1" w:lastRow="0" w:firstColumn="1" w:lastColumn="0" w:noHBand="0" w:noVBand="1"/>
      </w:tblPr>
      <w:tblGrid>
        <w:gridCol w:w="4675"/>
        <w:gridCol w:w="4675"/>
      </w:tblGrid>
      <w:tr w:rsidR="0088415D" w14:paraId="25B105D4" w14:textId="77777777">
        <w:tc>
          <w:tcPr>
            <w:tcW w:w="4680" w:type="dxa"/>
            <w:shd w:val="clear" w:color="auto" w:fill="F8FAFC"/>
          </w:tcPr>
          <w:p w14:paraId="12C4EAFA" w14:textId="77777777" w:rsidR="0088415D" w:rsidRDefault="00000000">
            <w:r>
              <w:rPr>
                <w:rFonts w:ascii="Calibri" w:hAnsi="Calibri"/>
                <w:b/>
                <w:color w:val="1A365D"/>
                <w:sz w:val="20"/>
              </w:rPr>
              <w:t>Client profile</w:t>
            </w:r>
          </w:p>
        </w:tc>
        <w:tc>
          <w:tcPr>
            <w:tcW w:w="4680" w:type="dxa"/>
            <w:shd w:val="clear" w:color="auto" w:fill="F8FAFC"/>
          </w:tcPr>
          <w:p w14:paraId="27774579" w14:textId="77777777" w:rsidR="0088415D" w:rsidRDefault="00000000">
            <w:r>
              <w:rPr>
                <w:rFonts w:ascii="Calibri" w:hAnsi="Calibri"/>
                <w:b/>
                <w:color w:val="1A365D"/>
                <w:sz w:val="20"/>
              </w:rPr>
              <w:t>Data readiness outlook</w:t>
            </w:r>
          </w:p>
        </w:tc>
      </w:tr>
      <w:tr w:rsidR="0088415D" w14:paraId="4E0CB8BA" w14:textId="77777777">
        <w:tc>
          <w:tcPr>
            <w:tcW w:w="4680" w:type="dxa"/>
          </w:tcPr>
          <w:p w14:paraId="13396BD0" w14:textId="77777777" w:rsidR="0088415D" w:rsidRDefault="00000000">
            <w:r>
              <w:rPr>
                <w:rFonts w:ascii="Calibri" w:hAnsi="Calibri"/>
                <w:b/>
                <w:color w:val="1A365D"/>
                <w:sz w:val="20"/>
              </w:rPr>
              <w:t>Large multi-banner retailer</w:t>
            </w:r>
          </w:p>
        </w:tc>
        <w:tc>
          <w:tcPr>
            <w:tcW w:w="4680" w:type="dxa"/>
          </w:tcPr>
          <w:p w14:paraId="1CE9BD37" w14:textId="77777777" w:rsidR="0088415D" w:rsidRDefault="00000000">
            <w:r>
              <w:rPr>
                <w:rFonts w:ascii="Calibri" w:hAnsi="Calibri"/>
                <w:color w:val="475569"/>
                <w:sz w:val="20"/>
              </w:rPr>
              <w:t>Rich internal data, but heavy integration, governance, and cross-system alignment</w:t>
            </w:r>
          </w:p>
        </w:tc>
      </w:tr>
      <w:tr w:rsidR="0088415D" w14:paraId="33F539CE" w14:textId="77777777">
        <w:tc>
          <w:tcPr>
            <w:tcW w:w="4680" w:type="dxa"/>
            <w:shd w:val="clear" w:color="auto" w:fill="F8FAFC"/>
          </w:tcPr>
          <w:p w14:paraId="591797ED" w14:textId="77777777" w:rsidR="0088415D" w:rsidRDefault="00000000">
            <w:r>
              <w:rPr>
                <w:rFonts w:ascii="Calibri" w:hAnsi="Calibri"/>
                <w:b/>
                <w:color w:val="1A365D"/>
                <w:sz w:val="20"/>
              </w:rPr>
              <w:t>Mid-size chain</w:t>
            </w:r>
          </w:p>
        </w:tc>
        <w:tc>
          <w:tcPr>
            <w:tcW w:w="4680" w:type="dxa"/>
            <w:shd w:val="clear" w:color="auto" w:fill="F8FAFC"/>
          </w:tcPr>
          <w:p w14:paraId="792C4F90" w14:textId="77777777" w:rsidR="0088415D" w:rsidRDefault="00000000">
            <w:r>
              <w:rPr>
                <w:rFonts w:ascii="Calibri" w:hAnsi="Calibri"/>
                <w:color w:val="475569"/>
                <w:sz w:val="20"/>
              </w:rPr>
              <w:t>Often faster access, but weaker external data and unstructured coverage</w:t>
            </w:r>
          </w:p>
        </w:tc>
      </w:tr>
      <w:tr w:rsidR="0088415D" w14:paraId="40156C13" w14:textId="77777777">
        <w:tc>
          <w:tcPr>
            <w:tcW w:w="4680" w:type="dxa"/>
          </w:tcPr>
          <w:p w14:paraId="61B75C4A" w14:textId="77777777" w:rsidR="0088415D" w:rsidRDefault="00000000">
            <w:r>
              <w:rPr>
                <w:rFonts w:ascii="Calibri" w:hAnsi="Calibri"/>
                <w:b/>
                <w:color w:val="1A365D"/>
                <w:sz w:val="20"/>
              </w:rPr>
              <w:t>New pilot client</w:t>
            </w:r>
          </w:p>
        </w:tc>
        <w:tc>
          <w:tcPr>
            <w:tcW w:w="4680" w:type="dxa"/>
          </w:tcPr>
          <w:p w14:paraId="525C7586" w14:textId="77777777" w:rsidR="0088415D" w:rsidRDefault="00000000">
            <w:r>
              <w:rPr>
                <w:rFonts w:ascii="Calibri" w:hAnsi="Calibri"/>
                <w:color w:val="475569"/>
                <w:sz w:val="20"/>
              </w:rPr>
              <w:t>Can start with a narrow internal dataset; full multimodal vision takes longer</w:t>
            </w:r>
          </w:p>
        </w:tc>
      </w:tr>
    </w:tbl>
    <w:p w14:paraId="10DFD8F1" w14:textId="77777777" w:rsidR="0088415D" w:rsidRDefault="0088415D"/>
    <w:p w14:paraId="5263EC55" w14:textId="7B7663B8" w:rsidR="0088415D" w:rsidRDefault="0088415D" w:rsidP="001E3EF5">
      <w:pPr>
        <w:pStyle w:val="ListNumber"/>
        <w:numPr>
          <w:ilvl w:val="0"/>
          <w:numId w:val="0"/>
        </w:numPr>
        <w:spacing w:after="120"/>
      </w:pPr>
    </w:p>
    <w:tbl>
      <w:tblPr>
        <w:tblStyle w:val="TableGrid"/>
        <w:tblW w:w="0" w:type="auto"/>
        <w:tblLook w:val="04A0" w:firstRow="1" w:lastRow="0" w:firstColumn="1" w:lastColumn="0" w:noHBand="0" w:noVBand="1"/>
      </w:tblPr>
      <w:tblGrid>
        <w:gridCol w:w="4675"/>
        <w:gridCol w:w="4675"/>
      </w:tblGrid>
      <w:tr w:rsidR="0088415D" w14:paraId="367D199E" w14:textId="77777777">
        <w:tc>
          <w:tcPr>
            <w:tcW w:w="4680" w:type="dxa"/>
            <w:shd w:val="clear" w:color="auto" w:fill="F8FAFC"/>
          </w:tcPr>
          <w:p w14:paraId="5E6E62FA" w14:textId="77777777" w:rsidR="0088415D" w:rsidRDefault="00000000">
            <w:r>
              <w:rPr>
                <w:rFonts w:ascii="Calibri" w:hAnsi="Calibri"/>
                <w:b/>
                <w:color w:val="1A365D"/>
                <w:sz w:val="20"/>
              </w:rPr>
              <w:t>Enabler</w:t>
            </w:r>
          </w:p>
        </w:tc>
        <w:tc>
          <w:tcPr>
            <w:tcW w:w="4680" w:type="dxa"/>
            <w:shd w:val="clear" w:color="auto" w:fill="F8FAFC"/>
          </w:tcPr>
          <w:p w14:paraId="4BD7F274" w14:textId="77777777" w:rsidR="0088415D" w:rsidRDefault="00000000">
            <w:r>
              <w:rPr>
                <w:rFonts w:ascii="Calibri" w:hAnsi="Calibri"/>
                <w:b/>
                <w:color w:val="1A365D"/>
                <w:sz w:val="20"/>
              </w:rPr>
              <w:t>Barrier</w:t>
            </w:r>
          </w:p>
        </w:tc>
      </w:tr>
      <w:tr w:rsidR="0088415D" w14:paraId="1DFC600C" w14:textId="77777777">
        <w:tc>
          <w:tcPr>
            <w:tcW w:w="4680" w:type="dxa"/>
          </w:tcPr>
          <w:p w14:paraId="784C9531" w14:textId="77777777" w:rsidR="0088415D" w:rsidRDefault="00000000">
            <w:r>
              <w:rPr>
                <w:rFonts w:ascii="Calibri" w:hAnsi="Calibri"/>
                <w:color w:val="475569"/>
                <w:sz w:val="20"/>
              </w:rPr>
              <w:t>Retailers already track store-level performance</w:t>
            </w:r>
          </w:p>
        </w:tc>
        <w:tc>
          <w:tcPr>
            <w:tcW w:w="4680" w:type="dxa"/>
          </w:tcPr>
          <w:p w14:paraId="2D046DFD" w14:textId="77777777" w:rsidR="0088415D" w:rsidRDefault="00000000">
            <w:r>
              <w:rPr>
                <w:rFonts w:ascii="Calibri" w:hAnsi="Calibri"/>
                <w:color w:val="475569"/>
                <w:sz w:val="20"/>
              </w:rPr>
              <w:t>Data lives in disconnected systems</w:t>
            </w:r>
          </w:p>
        </w:tc>
      </w:tr>
      <w:tr w:rsidR="0088415D" w14:paraId="17EED459" w14:textId="77777777">
        <w:tc>
          <w:tcPr>
            <w:tcW w:w="4680" w:type="dxa"/>
            <w:shd w:val="clear" w:color="auto" w:fill="F8FAFC"/>
          </w:tcPr>
          <w:p w14:paraId="75FD7DBB" w14:textId="77777777" w:rsidR="0088415D" w:rsidRDefault="00000000">
            <w:r>
              <w:rPr>
                <w:rFonts w:ascii="Calibri" w:hAnsi="Calibri"/>
                <w:color w:val="475569"/>
                <w:sz w:val="20"/>
              </w:rPr>
              <w:t>External context is obtainable through vendors or public sources</w:t>
            </w:r>
          </w:p>
        </w:tc>
        <w:tc>
          <w:tcPr>
            <w:tcW w:w="4680" w:type="dxa"/>
            <w:shd w:val="clear" w:color="auto" w:fill="F8FAFC"/>
          </w:tcPr>
          <w:p w14:paraId="18CD52D1" w14:textId="77777777" w:rsidR="0088415D" w:rsidRDefault="00000000">
            <w:r>
              <w:rPr>
                <w:rFonts w:ascii="Calibri" w:hAnsi="Calibri"/>
                <w:color w:val="475569"/>
                <w:sz w:val="20"/>
              </w:rPr>
              <w:t>Not standardized or client-owned</w:t>
            </w:r>
          </w:p>
        </w:tc>
      </w:tr>
      <w:tr w:rsidR="0088415D" w14:paraId="7F716DFE" w14:textId="77777777">
        <w:tc>
          <w:tcPr>
            <w:tcW w:w="4680" w:type="dxa"/>
          </w:tcPr>
          <w:p w14:paraId="40552B8E" w14:textId="77777777" w:rsidR="0088415D" w:rsidRDefault="00000000">
            <w:r>
              <w:rPr>
                <w:rFonts w:ascii="Calibri" w:hAnsi="Calibri"/>
                <w:color w:val="475569"/>
                <w:sz w:val="20"/>
              </w:rPr>
              <w:t>AI can work with mixed structured and unstructured inputs</w:t>
            </w:r>
          </w:p>
        </w:tc>
        <w:tc>
          <w:tcPr>
            <w:tcW w:w="4680" w:type="dxa"/>
          </w:tcPr>
          <w:p w14:paraId="1E74BC88" w14:textId="77777777" w:rsidR="0088415D" w:rsidRDefault="00000000">
            <w:r>
              <w:rPr>
                <w:rFonts w:ascii="Calibri" w:hAnsi="Calibri"/>
                <w:color w:val="475569"/>
                <w:sz w:val="20"/>
              </w:rPr>
              <w:t>Poor store linkage breaks the model</w:t>
            </w:r>
          </w:p>
        </w:tc>
      </w:tr>
      <w:tr w:rsidR="0088415D" w14:paraId="1A88635F" w14:textId="77777777">
        <w:tc>
          <w:tcPr>
            <w:tcW w:w="4680" w:type="dxa"/>
            <w:shd w:val="clear" w:color="auto" w:fill="F8FAFC"/>
          </w:tcPr>
          <w:p w14:paraId="3D959924" w14:textId="77777777" w:rsidR="0088415D" w:rsidRDefault="00000000">
            <w:r>
              <w:rPr>
                <w:rFonts w:ascii="Calibri" w:hAnsi="Calibri"/>
                <w:color w:val="475569"/>
                <w:sz w:val="20"/>
              </w:rPr>
              <w:t>Pilot can begin with a limited data footprint</w:t>
            </w:r>
          </w:p>
        </w:tc>
        <w:tc>
          <w:tcPr>
            <w:tcW w:w="4680" w:type="dxa"/>
            <w:shd w:val="clear" w:color="auto" w:fill="F8FAFC"/>
          </w:tcPr>
          <w:p w14:paraId="2F20DB43" w14:textId="77777777" w:rsidR="0088415D" w:rsidRDefault="00000000">
            <w:r>
              <w:rPr>
                <w:rFonts w:ascii="Calibri" w:hAnsi="Calibri"/>
                <w:color w:val="475569"/>
                <w:sz w:val="20"/>
              </w:rPr>
              <w:t>Full vision requires sustained data operations</w:t>
            </w:r>
          </w:p>
        </w:tc>
      </w:tr>
    </w:tbl>
    <w:p w14:paraId="7D58F8AB" w14:textId="77777777" w:rsidR="0088415D" w:rsidRDefault="0088415D"/>
    <w:sectPr w:rsidR="0088415D"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E333A7"/>
    <w:multiLevelType w:val="multilevel"/>
    <w:tmpl w:val="ACC8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4218178">
    <w:abstractNumId w:val="8"/>
  </w:num>
  <w:num w:numId="2" w16cid:durableId="1513256157">
    <w:abstractNumId w:val="6"/>
  </w:num>
  <w:num w:numId="3" w16cid:durableId="1369842513">
    <w:abstractNumId w:val="5"/>
  </w:num>
  <w:num w:numId="4" w16cid:durableId="123743068">
    <w:abstractNumId w:val="4"/>
  </w:num>
  <w:num w:numId="5" w16cid:durableId="610280528">
    <w:abstractNumId w:val="7"/>
  </w:num>
  <w:num w:numId="6" w16cid:durableId="1272518078">
    <w:abstractNumId w:val="3"/>
  </w:num>
  <w:num w:numId="7" w16cid:durableId="333382745">
    <w:abstractNumId w:val="2"/>
  </w:num>
  <w:num w:numId="8" w16cid:durableId="700740429">
    <w:abstractNumId w:val="1"/>
  </w:num>
  <w:num w:numId="9" w16cid:durableId="1875729877">
    <w:abstractNumId w:val="0"/>
  </w:num>
  <w:num w:numId="10" w16cid:durableId="1149442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FB7"/>
    <w:rsid w:val="0015074B"/>
    <w:rsid w:val="00156CCC"/>
    <w:rsid w:val="001C1BFF"/>
    <w:rsid w:val="001E2A02"/>
    <w:rsid w:val="001E3EF5"/>
    <w:rsid w:val="00200C32"/>
    <w:rsid w:val="0029639D"/>
    <w:rsid w:val="00326F90"/>
    <w:rsid w:val="003456DD"/>
    <w:rsid w:val="004F59D8"/>
    <w:rsid w:val="0067077B"/>
    <w:rsid w:val="00696B5C"/>
    <w:rsid w:val="006D4702"/>
    <w:rsid w:val="007A6F91"/>
    <w:rsid w:val="0088415D"/>
    <w:rsid w:val="00884D8C"/>
    <w:rsid w:val="008A618F"/>
    <w:rsid w:val="00954110"/>
    <w:rsid w:val="00A2432C"/>
    <w:rsid w:val="00AA1D8D"/>
    <w:rsid w:val="00B47730"/>
    <w:rsid w:val="00B826F3"/>
    <w:rsid w:val="00C23077"/>
    <w:rsid w:val="00C32B27"/>
    <w:rsid w:val="00CB0664"/>
    <w:rsid w:val="00D33098"/>
    <w:rsid w:val="00DA65E7"/>
    <w:rsid w:val="00DB3671"/>
    <w:rsid w:val="00E274B3"/>
    <w:rsid w:val="00EB6F44"/>
    <w:rsid w:val="00F10D31"/>
    <w:rsid w:val="00F80B99"/>
    <w:rsid w:val="00FA63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C3041"/>
  <w14:defaultImageDpi w14:val="300"/>
  <w15:docId w15:val="{D3A61491-2140-4BDC-8B60-A0BFC82D9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3232</Words>
  <Characters>18429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Chandana P</cp:lastModifiedBy>
  <cp:revision>8</cp:revision>
  <dcterms:created xsi:type="dcterms:W3CDTF">2026-06-26T08:14:00Z</dcterms:created>
  <dcterms:modified xsi:type="dcterms:W3CDTF">2026-06-26T08:33:00Z</dcterms:modified>
  <cp:category/>
</cp:coreProperties>
</file>