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E840" w14:textId="70185805" w:rsidR="00F3205F" w:rsidRPr="0065269C" w:rsidRDefault="0076174E" w:rsidP="0065269C">
      <w:pPr>
        <w:jc w:val="center"/>
        <w:rPr>
          <w:sz w:val="40"/>
          <w:szCs w:val="40"/>
        </w:rPr>
      </w:pPr>
      <w:r w:rsidRPr="0065269C">
        <w:rPr>
          <w:sz w:val="40"/>
          <w:szCs w:val="40"/>
        </w:rPr>
        <w:t>Latency Track Nvidia Stack</w:t>
      </w:r>
    </w:p>
    <w:p w14:paraId="613E718F" w14:textId="485CF916" w:rsidR="0065269C" w:rsidRPr="0065269C" w:rsidRDefault="0065269C" w:rsidP="0065269C">
      <w:pPr>
        <w:pStyle w:val="ListParagraph"/>
        <w:numPr>
          <w:ilvl w:val="0"/>
          <w:numId w:val="1"/>
        </w:numPr>
      </w:pPr>
      <w:r w:rsidRPr="0065269C">
        <w:t>What is the biggest adoption barrier for GlobalWear’s EcoThread products?</w:t>
      </w:r>
      <w:r w:rsidR="00E33333">
        <w:t xml:space="preserve"> (Semantic)</w:t>
      </w:r>
    </w:p>
    <w:p w14:paraId="7822AC4B" w14:textId="011D06AB" w:rsidR="00D44D02" w:rsidRDefault="00D44D02">
      <w:r w:rsidRPr="00D44D02">
        <w:drawing>
          <wp:inline distT="0" distB="0" distL="0" distR="0" wp14:anchorId="51957083" wp14:editId="6D0A39BD">
            <wp:extent cx="4648849" cy="3696216"/>
            <wp:effectExtent l="0" t="0" r="0" b="0"/>
            <wp:docPr id="3518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3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69C" w:rsidRPr="0065269C">
        <w:drawing>
          <wp:anchor distT="0" distB="0" distL="114300" distR="114300" simplePos="0" relativeHeight="251658240" behindDoc="0" locked="0" layoutInCell="1" allowOverlap="1" wp14:anchorId="5A497363" wp14:editId="303312C8">
            <wp:simplePos x="914400" y="1905000"/>
            <wp:positionH relativeFrom="column">
              <wp:align>left</wp:align>
            </wp:positionH>
            <wp:positionV relativeFrom="paragraph">
              <wp:align>top</wp:align>
            </wp:positionV>
            <wp:extent cx="4141470" cy="3695700"/>
            <wp:effectExtent l="0" t="0" r="0" b="0"/>
            <wp:wrapSquare wrapText="bothSides"/>
            <wp:docPr id="154065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61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75" cy="3695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F5F0B2" w14:textId="77777777" w:rsidR="00D44D02" w:rsidRPr="00D44D02" w:rsidRDefault="00D44D02" w:rsidP="00D44D02"/>
    <w:p w14:paraId="54026086" w14:textId="251C5075" w:rsidR="00D44D02" w:rsidRPr="00D44D02" w:rsidRDefault="00D44D02" w:rsidP="00D44D02"/>
    <w:p w14:paraId="33F14A68" w14:textId="77777777" w:rsidR="00D44D02" w:rsidRPr="00D44D02" w:rsidRDefault="00D44D02" w:rsidP="00D44D02"/>
    <w:p w14:paraId="4DD1A066" w14:textId="157B2A06" w:rsidR="00D44D02" w:rsidRPr="00D44D02" w:rsidRDefault="00D44D02" w:rsidP="00D44D02">
      <w:r>
        <w:t xml:space="preserve"> </w:t>
      </w:r>
    </w:p>
    <w:p w14:paraId="618E35CE" w14:textId="77777777" w:rsidR="00D44D02" w:rsidRPr="00D44D02" w:rsidRDefault="00D44D02" w:rsidP="00D44D02"/>
    <w:p w14:paraId="1B460F50" w14:textId="77777777" w:rsidR="00D44D02" w:rsidRPr="00D44D02" w:rsidRDefault="00D44D02" w:rsidP="00D44D02"/>
    <w:p w14:paraId="70C9FCC0" w14:textId="77777777" w:rsidR="00D44D02" w:rsidRPr="00D44D02" w:rsidRDefault="00D44D02" w:rsidP="00D44D02"/>
    <w:p w14:paraId="5DD7540B" w14:textId="77777777" w:rsidR="00D44D02" w:rsidRDefault="00D44D02"/>
    <w:p w14:paraId="699697F4" w14:textId="77777777" w:rsidR="00D44D02" w:rsidRDefault="00D44D02"/>
    <w:p w14:paraId="60642C6B" w14:textId="19A93E7C" w:rsidR="00D44D02" w:rsidRPr="00D44D02" w:rsidRDefault="00D44D02" w:rsidP="00D44D02"/>
    <w:p w14:paraId="1DA7294F" w14:textId="28C00543" w:rsidR="0076174E" w:rsidRDefault="00D44D02">
      <w:r>
        <w:br w:type="textWrapping" w:clear="all"/>
      </w:r>
    </w:p>
    <w:p w14:paraId="4E87627B" w14:textId="77777777" w:rsidR="00E33333" w:rsidRDefault="00E33333"/>
    <w:p w14:paraId="1E7573CC" w14:textId="7C6144A8" w:rsidR="0065269C" w:rsidRDefault="0065269C" w:rsidP="0065269C">
      <w:pPr>
        <w:pStyle w:val="ListParagraph"/>
        <w:numPr>
          <w:ilvl w:val="0"/>
          <w:numId w:val="1"/>
        </w:numPr>
      </w:pPr>
      <w:r w:rsidRPr="0065269C">
        <w:t>What were the key consequences of the delay for Zenith Apparel’s European operations?</w:t>
      </w:r>
      <w:r w:rsidR="00E33333">
        <w:t xml:space="preserve"> (Semantic)</w:t>
      </w:r>
    </w:p>
    <w:p w14:paraId="77903CEC" w14:textId="454F8AD5" w:rsidR="00D44D02" w:rsidRDefault="00880A06" w:rsidP="0065269C">
      <w:pPr>
        <w:pStyle w:val="ListParagraph"/>
        <w:numPr>
          <w:ilvl w:val="0"/>
          <w:numId w:val="1"/>
        </w:numPr>
      </w:pPr>
      <w:r w:rsidRPr="00E33333">
        <w:drawing>
          <wp:inline distT="0" distB="0" distL="0" distR="0" wp14:anchorId="178DF83B" wp14:editId="3C78A3A9">
            <wp:extent cx="4229100" cy="3666516"/>
            <wp:effectExtent l="0" t="0" r="0" b="0"/>
            <wp:docPr id="206382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28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244" cy="368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D02">
        <w:t xml:space="preserve">        </w:t>
      </w:r>
      <w:r w:rsidRPr="00D44D02">
        <w:drawing>
          <wp:inline distT="0" distB="0" distL="0" distR="0" wp14:anchorId="2DFEEFED" wp14:editId="28471BA9">
            <wp:extent cx="4572000" cy="3667125"/>
            <wp:effectExtent l="0" t="0" r="0" b="9525"/>
            <wp:docPr id="1256150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76B4" w14:textId="0D5D6751" w:rsidR="00E33333" w:rsidRDefault="00D44D02" w:rsidP="00E33333">
      <w:pPr>
        <w:pStyle w:val="ListParagraph"/>
      </w:pPr>
      <w:r>
        <w:t xml:space="preserve"> </w:t>
      </w:r>
    </w:p>
    <w:p w14:paraId="13D232BB" w14:textId="77777777" w:rsidR="00E33333" w:rsidRDefault="00E33333" w:rsidP="00E33333">
      <w:pPr>
        <w:pStyle w:val="ListParagraph"/>
      </w:pPr>
    </w:p>
    <w:p w14:paraId="45F371C3" w14:textId="471C005C" w:rsidR="00E9769D" w:rsidRDefault="00E9769D" w:rsidP="00E9769D">
      <w:pPr>
        <w:pStyle w:val="ListParagraph"/>
        <w:numPr>
          <w:ilvl w:val="0"/>
          <w:numId w:val="1"/>
        </w:numPr>
      </w:pPr>
      <w:r w:rsidRPr="00E9769D">
        <w:t>Calculate the total gross profit (Revenue_USD - COGS_USD) generated by the Gen Z customer segment across all regions.</w:t>
      </w:r>
      <w:r>
        <w:t xml:space="preserve"> (SQL)</w:t>
      </w:r>
    </w:p>
    <w:p w14:paraId="6A3F8402" w14:textId="271CFDB7" w:rsidR="00E9769D" w:rsidRDefault="00E9769D" w:rsidP="00E9769D">
      <w:r w:rsidRPr="00E9769D">
        <w:drawing>
          <wp:inline distT="0" distB="0" distL="0" distR="0" wp14:anchorId="7DD1E250" wp14:editId="77E4043B">
            <wp:extent cx="4620270" cy="4153480"/>
            <wp:effectExtent l="0" t="0" r="8890" b="0"/>
            <wp:docPr id="71434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4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D02">
        <w:t xml:space="preserve">      </w:t>
      </w:r>
      <w:r w:rsidR="00D44D02" w:rsidRPr="00D44D02">
        <w:drawing>
          <wp:inline distT="0" distB="0" distL="0" distR="0" wp14:anchorId="1E3E2C53" wp14:editId="57292170">
            <wp:extent cx="5062242" cy="4171950"/>
            <wp:effectExtent l="0" t="0" r="5080" b="0"/>
            <wp:docPr id="1930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494" cy="417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D4FC" w14:textId="763A2A73" w:rsidR="00E9769D" w:rsidRDefault="00E9769D" w:rsidP="00E9769D">
      <w:pPr>
        <w:pStyle w:val="ListParagraph"/>
        <w:numPr>
          <w:ilvl w:val="0"/>
          <w:numId w:val="1"/>
        </w:numPr>
      </w:pPr>
      <w:r w:rsidRPr="00E9769D">
        <w:t>What is the total revenue generated by each retailer across all regions?</w:t>
      </w:r>
      <w:r>
        <w:t xml:space="preserve"> (SQL)</w:t>
      </w:r>
    </w:p>
    <w:p w14:paraId="0A74F0C4" w14:textId="234A340B" w:rsidR="00E9769D" w:rsidRDefault="00D57D7F" w:rsidP="00E9769D">
      <w:pPr>
        <w:pStyle w:val="ListParagraph"/>
      </w:pPr>
      <w:r w:rsidRPr="00D57D7F">
        <w:drawing>
          <wp:inline distT="0" distB="0" distL="0" distR="0" wp14:anchorId="4B80B676" wp14:editId="23E4BC36">
            <wp:extent cx="4629796" cy="3848637"/>
            <wp:effectExtent l="0" t="0" r="0" b="0"/>
            <wp:docPr id="3034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A06">
        <w:t xml:space="preserve">      </w:t>
      </w:r>
      <w:r w:rsidR="00880A06" w:rsidRPr="00880A06">
        <w:drawing>
          <wp:inline distT="0" distB="0" distL="0" distR="0" wp14:anchorId="70BB61E2" wp14:editId="59F1DC7F">
            <wp:extent cx="4448175" cy="3859987"/>
            <wp:effectExtent l="0" t="0" r="0" b="7620"/>
            <wp:docPr id="7678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00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581" cy="38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3D02" w14:textId="77777777" w:rsidR="00B070B1" w:rsidRDefault="00B070B1" w:rsidP="00E9769D">
      <w:pPr>
        <w:pStyle w:val="ListParagraph"/>
      </w:pPr>
    </w:p>
    <w:p w14:paraId="7F367FB6" w14:textId="77777777" w:rsidR="00B37355" w:rsidRDefault="00B37355" w:rsidP="00E9769D">
      <w:pPr>
        <w:pStyle w:val="ListParagraph"/>
      </w:pPr>
    </w:p>
    <w:p w14:paraId="7DADF61E" w14:textId="77777777" w:rsidR="00B37355" w:rsidRPr="00B37355" w:rsidRDefault="00B37355" w:rsidP="00B37355">
      <w:pPr>
        <w:pStyle w:val="ListParagraph"/>
        <w:rPr>
          <w:b/>
          <w:bCs/>
        </w:rPr>
      </w:pPr>
      <w:r w:rsidRPr="00B37355">
        <w:rPr>
          <w:b/>
          <w:bCs/>
        </w:rPr>
        <w:t>1. Production-Grade Support &amp; Stability</w:t>
      </w:r>
    </w:p>
    <w:p w14:paraId="15C7D623" w14:textId="77777777" w:rsidR="00B37355" w:rsidRPr="00B37355" w:rsidRDefault="00B37355" w:rsidP="00B37355">
      <w:pPr>
        <w:pStyle w:val="ListParagraph"/>
        <w:numPr>
          <w:ilvl w:val="0"/>
          <w:numId w:val="2"/>
        </w:numPr>
      </w:pPr>
      <w:r w:rsidRPr="00B37355">
        <w:rPr>
          <w:b/>
          <w:bCs/>
        </w:rPr>
        <w:t>Dedicated Support:</w:t>
      </w:r>
      <w:r w:rsidRPr="00B37355">
        <w:t xml:space="preserve"> Access to direct NVIDIA experts, guaranteed SLAs, and long-term support (LTS) branches so mission-critical AI systems do not break during critical operations.</w:t>
      </w:r>
    </w:p>
    <w:p w14:paraId="2E6EAC4C" w14:textId="42E99649" w:rsidR="00B37355" w:rsidRPr="00B37355" w:rsidRDefault="00B37355" w:rsidP="00B37355">
      <w:pPr>
        <w:pStyle w:val="ListParagraph"/>
        <w:numPr>
          <w:ilvl w:val="0"/>
          <w:numId w:val="2"/>
        </w:numPr>
      </w:pPr>
      <w:r w:rsidRPr="00B37355">
        <w:rPr>
          <w:b/>
          <w:bCs/>
        </w:rPr>
        <w:t>No Model Drift:</w:t>
      </w:r>
      <w:r w:rsidRPr="00B37355">
        <w:t xml:space="preserve"> Raw open-source repositories update constantly, which can cause unexpected breaks. Enterprise models are curated and pre-tested to behave predictably in production. </w:t>
      </w:r>
    </w:p>
    <w:p w14:paraId="66D4A032" w14:textId="77777777" w:rsidR="00B37355" w:rsidRPr="00B37355" w:rsidRDefault="00B37355" w:rsidP="00B37355">
      <w:pPr>
        <w:pStyle w:val="ListParagraph"/>
        <w:rPr>
          <w:b/>
          <w:bCs/>
        </w:rPr>
      </w:pPr>
      <w:r w:rsidRPr="00B37355">
        <w:rPr>
          <w:b/>
          <w:bCs/>
        </w:rPr>
        <w:t>2. Maximum Hardware Optimization</w:t>
      </w:r>
    </w:p>
    <w:p w14:paraId="06128E09" w14:textId="77777777" w:rsidR="00B37355" w:rsidRPr="00B37355" w:rsidRDefault="00B37355" w:rsidP="00B37355">
      <w:pPr>
        <w:pStyle w:val="ListParagraph"/>
        <w:numPr>
          <w:ilvl w:val="0"/>
          <w:numId w:val="3"/>
        </w:numPr>
      </w:pPr>
      <w:r w:rsidRPr="00B37355">
        <w:rPr>
          <w:b/>
          <w:bCs/>
        </w:rPr>
        <w:t>Out-of-the-Box Speed:</w:t>
      </w:r>
      <w:r w:rsidRPr="00B37355">
        <w:t xml:space="preserve"> Enterprise deployments use pre-built inference microservices like </w:t>
      </w:r>
      <w:hyperlink r:id="rId13" w:tgtFrame="_blank" w:history="1">
        <w:r w:rsidRPr="00B37355">
          <w:rPr>
            <w:rStyle w:val="Hyperlink"/>
          </w:rPr>
          <w:t>NVIDIA NIM</w:t>
        </w:r>
      </w:hyperlink>
      <w:r w:rsidRPr="00B37355">
        <w:t xml:space="preserve"> , which bake in highly optimized engines (eg, TensorRT-LLM and Triton Inference Server).</w:t>
      </w:r>
    </w:p>
    <w:p w14:paraId="10DFAA04" w14:textId="163754CD" w:rsidR="00B37355" w:rsidRPr="00B37355" w:rsidRDefault="00B37355" w:rsidP="00B37355">
      <w:pPr>
        <w:pStyle w:val="ListParagraph"/>
        <w:numPr>
          <w:ilvl w:val="0"/>
          <w:numId w:val="3"/>
        </w:numPr>
      </w:pPr>
      <w:r w:rsidRPr="00B37355">
        <w:rPr>
          <w:b/>
          <w:bCs/>
        </w:rPr>
        <w:t>Superior TCO:</w:t>
      </w:r>
      <w:r w:rsidRPr="00B37355">
        <w:t xml:space="preserve"> These engines are pre-configured for aggressive KV-cache management, paged attention, and lower-latency processing (eg, FP8/NVFP4), allowing businesses to do more with less expensive GPU hardware. </w:t>
      </w:r>
    </w:p>
    <w:p w14:paraId="6F8A1E83" w14:textId="77777777" w:rsidR="00B37355" w:rsidRPr="00B37355" w:rsidRDefault="00B37355" w:rsidP="00B37355">
      <w:pPr>
        <w:pStyle w:val="ListParagraph"/>
        <w:rPr>
          <w:b/>
          <w:bCs/>
        </w:rPr>
      </w:pPr>
      <w:r w:rsidRPr="00B37355">
        <w:rPr>
          <w:b/>
          <w:bCs/>
        </w:rPr>
        <w:t>3. Streamlined Security and Compliance</w:t>
      </w:r>
    </w:p>
    <w:p w14:paraId="20C1773C" w14:textId="77777777" w:rsidR="00B37355" w:rsidRPr="00B37355" w:rsidRDefault="00B37355" w:rsidP="00B37355">
      <w:pPr>
        <w:pStyle w:val="ListParagraph"/>
        <w:numPr>
          <w:ilvl w:val="0"/>
          <w:numId w:val="4"/>
        </w:numPr>
      </w:pPr>
      <w:r w:rsidRPr="00B37355">
        <w:rPr>
          <w:b/>
          <w:bCs/>
        </w:rPr>
        <w:t>CVE Patching:</w:t>
      </w:r>
      <w:r w:rsidRPr="00B37355">
        <w:t xml:space="preserve"> Free open-source distributions require your team to continuously monitor for Common Vulnerabilities and Exposures (CVEs) and patch them manually.</w:t>
      </w:r>
    </w:p>
    <w:p w14:paraId="39080526" w14:textId="63BCEDA0" w:rsidR="00B37355" w:rsidRPr="00B37355" w:rsidRDefault="00B37355" w:rsidP="00B37355">
      <w:pPr>
        <w:pStyle w:val="ListParagraph"/>
        <w:numPr>
          <w:ilvl w:val="0"/>
          <w:numId w:val="4"/>
        </w:numPr>
      </w:pPr>
      <w:r w:rsidRPr="00B37355">
        <w:rPr>
          <w:b/>
          <w:bCs/>
        </w:rPr>
        <w:t>Regulatory Readiness:</w:t>
      </w:r>
      <w:r w:rsidRPr="00B37355">
        <w:t xml:space="preserve"> Enterprise packages offer built-in regulatory compliance (such as FedRAMP readiness), secure model weights, and the ability to set strict guardrails that block harmful content and protect PII. </w:t>
      </w:r>
    </w:p>
    <w:p w14:paraId="03BA602B" w14:textId="77777777" w:rsidR="00B37355" w:rsidRPr="00B37355" w:rsidRDefault="00B37355" w:rsidP="00B37355">
      <w:pPr>
        <w:pStyle w:val="ListParagraph"/>
        <w:rPr>
          <w:b/>
          <w:bCs/>
        </w:rPr>
      </w:pPr>
      <w:r w:rsidRPr="00B37355">
        <w:rPr>
          <w:b/>
          <w:bCs/>
        </w:rPr>
        <w:t>4. Standardized Integration (NIMs)</w:t>
      </w:r>
    </w:p>
    <w:p w14:paraId="2008118A" w14:textId="77777777" w:rsidR="00B37355" w:rsidRPr="00B37355" w:rsidRDefault="00B37355" w:rsidP="00B37355">
      <w:pPr>
        <w:pStyle w:val="ListParagraph"/>
        <w:numPr>
          <w:ilvl w:val="0"/>
          <w:numId w:val="5"/>
        </w:numPr>
      </w:pPr>
      <w:r w:rsidRPr="00B37355">
        <w:rPr>
          <w:b/>
          <w:bCs/>
        </w:rPr>
        <w:t>OpenAI-Compatible APIs:</w:t>
      </w:r>
      <w:r w:rsidRPr="00B37355">
        <w:t xml:space="preserve"> NIM microservices present models using industry-standard API formats ( /v1/chat/completions). This eliminates weeks of engineering time spent stitching together runtimes or rewriting application code, allowing seamless integration into existing corporate workflows.</w:t>
      </w:r>
    </w:p>
    <w:p w14:paraId="70958C48" w14:textId="77777777" w:rsidR="00B37355" w:rsidRPr="00B37355" w:rsidRDefault="00B37355" w:rsidP="00B37355">
      <w:pPr>
        <w:pStyle w:val="ListParagraph"/>
        <w:numPr>
          <w:ilvl w:val="0"/>
          <w:numId w:val="5"/>
        </w:numPr>
      </w:pPr>
      <w:r w:rsidRPr="00B37355">
        <w:rPr>
          <w:b/>
          <w:bCs/>
        </w:rPr>
        <w:t>Portability:</w:t>
      </w:r>
      <w:r w:rsidRPr="00B37355">
        <w:t xml:space="preserve"> Containerized microservices can be deployed uniformly across any NVIDIA-accelerated environment—from data centers to local RTX AI PCs. [</w:t>
      </w:r>
      <w:hyperlink r:id="rId14" w:history="1">
        <w:r w:rsidRPr="00B37355">
          <w:rPr>
            <w:rStyle w:val="Hyperlink"/>
          </w:rPr>
          <w:t>1</w:t>
        </w:r>
      </w:hyperlink>
      <w:r w:rsidRPr="00B37355">
        <w:t xml:space="preserve">, </w:t>
      </w:r>
      <w:hyperlink r:id="rId15" w:history="1">
        <w:r w:rsidRPr="00B37355">
          <w:rPr>
            <w:rStyle w:val="Hyperlink"/>
          </w:rPr>
          <w:t>2</w:t>
        </w:r>
      </w:hyperlink>
      <w:r w:rsidRPr="00B37355">
        <w:t xml:space="preserve">, </w:t>
      </w:r>
      <w:hyperlink r:id="rId16" w:history="1">
        <w:r w:rsidRPr="00B37355">
          <w:rPr>
            <w:rStyle w:val="Hyperlink"/>
          </w:rPr>
          <w:t>3</w:t>
        </w:r>
      </w:hyperlink>
      <w:r w:rsidRPr="00B37355">
        <w:t>]</w:t>
      </w:r>
    </w:p>
    <w:p w14:paraId="3433AC5B" w14:textId="77777777" w:rsidR="00B37355" w:rsidRPr="00B37355" w:rsidRDefault="00B37355" w:rsidP="00B37355">
      <w:pPr>
        <w:pStyle w:val="ListParagraph"/>
        <w:rPr>
          <w:b/>
          <w:bCs/>
        </w:rPr>
      </w:pPr>
      <w:r w:rsidRPr="00B37355">
        <w:rPr>
          <w:b/>
          <w:bCs/>
        </w:rPr>
        <w:t>5. Domain-Specific Customization</w:t>
      </w:r>
    </w:p>
    <w:p w14:paraId="3D67DED3" w14:textId="61F4F2F5" w:rsidR="00B37355" w:rsidRPr="00B37355" w:rsidRDefault="00B37355" w:rsidP="00B37355">
      <w:pPr>
        <w:pStyle w:val="ListParagraph"/>
        <w:numPr>
          <w:ilvl w:val="0"/>
          <w:numId w:val="6"/>
        </w:numPr>
      </w:pPr>
      <w:r w:rsidRPr="00B37355">
        <w:rPr>
          <w:b/>
          <w:bCs/>
        </w:rPr>
        <w:t>Pre-packaged Frameworks:</w:t>
      </w:r>
      <w:r w:rsidRPr="00B37355">
        <w:t xml:space="preserve"> Enterprise tools (like </w:t>
      </w:r>
      <w:hyperlink r:id="rId17" w:tgtFrame="_blank" w:history="1">
        <w:r w:rsidRPr="00B37355">
          <w:rPr>
            <w:rStyle w:val="Hyperlink"/>
          </w:rPr>
          <w:t>NVIDIA NeMo</w:t>
        </w:r>
      </w:hyperlink>
      <w:r w:rsidRPr="00B37355">
        <w:t xml:space="preserve"> ) provide the building blocks to fine-tune and customize models securely using your organization's proprietary data for specialized domains like healthcare (BioNeMo) or creative workflows. </w:t>
      </w:r>
    </w:p>
    <w:p w14:paraId="51E1DE27" w14:textId="77777777" w:rsidR="00B37355" w:rsidRDefault="00B37355" w:rsidP="00E9769D">
      <w:pPr>
        <w:pStyle w:val="ListParagraph"/>
      </w:pPr>
    </w:p>
    <w:p w14:paraId="0297A03D" w14:textId="77777777" w:rsidR="00B070B1" w:rsidRDefault="00B070B1" w:rsidP="00B070B1"/>
    <w:p w14:paraId="25A39AAE" w14:textId="77777777" w:rsidR="00B070B1" w:rsidRDefault="00B070B1" w:rsidP="00B070B1"/>
    <w:sectPr w:rsidR="00B07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191"/>
    <w:multiLevelType w:val="multilevel"/>
    <w:tmpl w:val="20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910DC"/>
    <w:multiLevelType w:val="multilevel"/>
    <w:tmpl w:val="F74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01940"/>
    <w:multiLevelType w:val="multilevel"/>
    <w:tmpl w:val="B65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F5E27"/>
    <w:multiLevelType w:val="hybridMultilevel"/>
    <w:tmpl w:val="0186D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46249"/>
    <w:multiLevelType w:val="multilevel"/>
    <w:tmpl w:val="C48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1211B"/>
    <w:multiLevelType w:val="multilevel"/>
    <w:tmpl w:val="8DB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325022">
    <w:abstractNumId w:val="3"/>
  </w:num>
  <w:num w:numId="2" w16cid:durableId="692221102">
    <w:abstractNumId w:val="1"/>
  </w:num>
  <w:num w:numId="3" w16cid:durableId="1505317807">
    <w:abstractNumId w:val="0"/>
  </w:num>
  <w:num w:numId="4" w16cid:durableId="426772092">
    <w:abstractNumId w:val="2"/>
  </w:num>
  <w:num w:numId="5" w16cid:durableId="801462717">
    <w:abstractNumId w:val="5"/>
  </w:num>
  <w:num w:numId="6" w16cid:durableId="671027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4E"/>
    <w:rsid w:val="003F7726"/>
    <w:rsid w:val="0065269C"/>
    <w:rsid w:val="00704C64"/>
    <w:rsid w:val="0076174E"/>
    <w:rsid w:val="00880A06"/>
    <w:rsid w:val="00A10A66"/>
    <w:rsid w:val="00B070B1"/>
    <w:rsid w:val="00B37355"/>
    <w:rsid w:val="00C35594"/>
    <w:rsid w:val="00D44D02"/>
    <w:rsid w:val="00D57D7F"/>
    <w:rsid w:val="00E14B5B"/>
    <w:rsid w:val="00E33333"/>
    <w:rsid w:val="00E9769D"/>
    <w:rsid w:val="00F3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5794"/>
  <w15:chartTrackingRefBased/>
  <w15:docId w15:val="{7645B228-5207-44F0-BD5A-7850D8FA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7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3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veloper.nvidia.com/ni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nvidia.com/en-in/ai-data-science/products/nim-microservic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rafay.co/blog/2025/10/20/nvidia-nim-why-it-mattersand-how-it-stacks-u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nvidia.com/en-in/ai-data-science/products/nim-microservices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eveloper.nvidia.com/n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</dc:creator>
  <cp:keywords/>
  <dc:description/>
  <cp:lastModifiedBy>Chandana P</cp:lastModifiedBy>
  <cp:revision>6</cp:revision>
  <dcterms:created xsi:type="dcterms:W3CDTF">2026-05-20T08:00:00Z</dcterms:created>
  <dcterms:modified xsi:type="dcterms:W3CDTF">2026-05-21T08:33:00Z</dcterms:modified>
</cp:coreProperties>
</file>