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Summary Report</w:t>
      </w:r>
    </w:p>
    <w:p>
      <w:r>
        <w:t>The patient is currently in stable general condition with no major acute or chronic abnormalities identified. Comprehensive examination findings suggest normal physiological functioning across all major body systems. Preventive health strategies and regular follow-up remain the recommended course of action. Recommendations include regular exercise, nutritional balance, adequate hydration, quality sleep, and ongoing awareness of evolving health indicators. 4. Summary: Clinical interpretation supports stable health status, with emphasis on preventive medicine, lifestyle optimization, and periodic professional evaluation to maintain wellness. Recommendations include regular exercise, nutritional balance, adequate hydration, quality sleep, and ongoing awareness of evolving health indicators. Clinical interpretation supports stable health status, with emphasis on preventive medicine, lifestyle optimization, and periodic professional evaluation to maintain wellness. Recommendations include regular exercise, nutritional balance, adequate hydration, quality sleep, and ongoing awareness of evolving health indicators. Summary: Clinical interpretation supports stable health status, with emphasis on preventive medicine, lifestyle optimization, and periodic professional evaluation to maintain wellness. Recommendations include regular exercise, nutritional balance, adequate hydration, quality sleep, and ongoing awareness of evolving health indicators. psychiatric concerns. Clinical interpretation supports stable health status, with emphasis on preventive medicine, lifestyle optimization, and periodic professional evaluation to maintain wellness. Recommendations include regular exercise, nutritional balance, adequate hydration, quality sleep, and ongoing awareness of evolving health indicators. Summary: Recommendations include regular exercise, nutritional balance, adequate hydration, quality sleep, and ongoing awareness of evolving health indicators. 15. Final Physician Declaration The patient demonstrates good health with no critical findings requiring immediate medical intervention. Continued healthy lifestyle adherence is strongly encouraged.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