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NIS2</w:t>
      </w:r>
      <w:r>
        <w:t xml:space="preserve"> </w:t>
      </w:r>
      <w:r>
        <w:t xml:space="preserve">kohaldamismemo</w:t>
      </w:r>
      <w:r>
        <w:t xml:space="preserve"> </w:t>
      </w:r>
      <w:r>
        <w:t xml:space="preserve">(mall)</w:t>
      </w:r>
    </w:p>
    <w:p>
      <w:pPr>
        <w:pStyle w:val="Subtitle"/>
      </w:pPr>
      <w:r>
        <w:t xml:space="preserve">Küberturvalisuse</w:t>
      </w:r>
      <w:r>
        <w:t xml:space="preserve"> </w:t>
      </w:r>
      <w:r>
        <w:t xml:space="preserve">seaduse</w:t>
      </w:r>
      <w:r>
        <w:t xml:space="preserve"> </w:t>
      </w:r>
      <w:r>
        <w:t xml:space="preserve">(KüTS)</w:t>
      </w:r>
      <w:r>
        <w:t xml:space="preserve"> </w:t>
      </w:r>
      <w:r>
        <w:t xml:space="preserve">kohaldamise</w:t>
      </w:r>
      <w:r>
        <w:t xml:space="preserve"> </w:t>
      </w:r>
      <w:r>
        <w:t xml:space="preserve">hinnang</w:t>
      </w:r>
    </w:p>
    <w:p>
      <w:pPr>
        <w:pStyle w:val="Date"/>
      </w:pPr>
      <w:r>
        <w:t xml:space="preserve">2026-10-27</w:t>
      </w:r>
    </w:p>
    <w:bookmarkStart w:id="30" w:name="nis2-kohaldamismemo-mall"/>
    <w:p>
      <w:pPr>
        <w:pStyle w:val="Heading1"/>
      </w:pPr>
      <w:r>
        <w:t xml:space="preserve">NIS2 kohaldamismemo (mall)</w:t>
      </w:r>
    </w:p>
    <w:p>
      <w:pPr>
        <w:pStyle w:val="BlockText"/>
      </w:pPr>
      <w:r>
        <w:rPr>
          <w:bCs/>
          <w:b/>
        </w:rPr>
        <w:t xml:space="preserve">Kuidas kasutada:</w:t>
      </w:r>
      <w:r>
        <w:t xml:space="preserve"> </w:t>
      </w:r>
      <w:r>
        <w:t xml:space="preserve">täida nurksulgudes väljad oma organisatsiooni andmetega, kustuta mittevajalikud read ja säilita tõendid. See mall on kontrollnimekiri ja dokumenteerimise raamistik, mitte õigusnõu. Lõpliku hinnangu andmiseks kontrolli kehtivat KüTS-i ja vajadusel küsi nõu.</w:t>
      </w:r>
    </w:p>
    <w:p>
      <w:pPr>
        <w:pStyle w:val="FirstParagraph"/>
      </w:pPr>
      <w:r>
        <w:rPr>
          <w:bCs/>
          <w:b/>
        </w:rPr>
        <w:t xml:space="preserve">Organisatsioon:</w:t>
      </w:r>
      <w:r>
        <w:t xml:space="preserve"> </w:t>
      </w:r>
      <w:r>
        <w:t xml:space="preserve">[nimi]</w:t>
      </w:r>
      <w:r>
        <w:br/>
      </w:r>
      <w:r>
        <w:rPr>
          <w:bCs/>
          <w:b/>
        </w:rPr>
        <w:t xml:space="preserve">Registrikood:</w:t>
      </w:r>
      <w:r>
        <w:t xml:space="preserve"> </w:t>
      </w:r>
      <w:r>
        <w:t xml:space="preserve">[number]</w:t>
      </w:r>
      <w:r>
        <w:br/>
      </w:r>
      <w:r>
        <w:rPr>
          <w:bCs/>
          <w:b/>
        </w:rPr>
        <w:t xml:space="preserve">Koostaja ja roll:</w:t>
      </w:r>
      <w:r>
        <w:t xml:space="preserve"> </w:t>
      </w:r>
      <w:r>
        <w:t xml:space="preserve">[nimi, amet]</w:t>
      </w:r>
      <w:r>
        <w:br/>
      </w:r>
      <w:r>
        <w:rPr>
          <w:bCs/>
          <w:b/>
        </w:rPr>
        <w:t xml:space="preserve">Kuupäev:</w:t>
      </w:r>
      <w:r>
        <w:t xml:space="preserve"> </w:t>
      </w:r>
      <w:r>
        <w:t xml:space="preserve">[pp.kk.aaaa]</w:t>
      </w:r>
      <w:r>
        <w:br/>
      </w:r>
      <w:r>
        <w:rPr>
          <w:bCs/>
          <w:b/>
        </w:rPr>
        <w:t xml:space="preserve">Ülevaatamise kuupäev:</w:t>
      </w:r>
      <w:r>
        <w:t xml:space="preserve"> </w:t>
      </w:r>
      <w:r>
        <w:t xml:space="preserve">[pp.kk.aaaa]</w:t>
      </w:r>
    </w:p>
    <w:bookmarkStart w:id="20" w:name="tegevus-ja-sektor"/>
    <w:p>
      <w:pPr>
        <w:pStyle w:val="Heading2"/>
      </w:pPr>
      <w:r>
        <w:t xml:space="preserve">1. Tegevus ja sektor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Põhitegevus:</w:t>
      </w:r>
      <w:r>
        <w:t xml:space="preserve"> </w:t>
      </w:r>
      <w:r>
        <w:t xml:space="preserve">[lühikirjeldus]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Teenused, mida osutad:</w:t>
      </w:r>
      <w:r>
        <w:t xml:space="preserve"> </w:t>
      </w:r>
      <w:r>
        <w:t xml:space="preserve">[loetelu]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KüTS-i sektor (lisa I või II):</w:t>
      </w:r>
      <w:r>
        <w:t xml:space="preserve"> </w:t>
      </w:r>
      <w:r>
        <w:t xml:space="preserve">[sektor või „ei kohaldu“]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Riigid, kus teenust osutad:</w:t>
      </w:r>
      <w:r>
        <w:t xml:space="preserve"> </w:t>
      </w:r>
      <w:r>
        <w:t xml:space="preserve">[loetelu]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Reguleeriv asutus:</w:t>
      </w:r>
      <w:r>
        <w:t xml:space="preserve"> </w:t>
      </w:r>
      <w:r>
        <w:t xml:space="preserve">[RIA / muu]</w:t>
      </w:r>
    </w:p>
    <w:bookmarkEnd w:id="20"/>
    <w:bookmarkStart w:id="21" w:name="suurus-ja-grupp"/>
    <w:p>
      <w:pPr>
        <w:pStyle w:val="Heading2"/>
      </w:pPr>
      <w:r>
        <w:t xml:space="preserve">2. Suurus ja grupp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Töötajate arv:</w:t>
      </w:r>
      <w:r>
        <w:t xml:space="preserve"> </w:t>
      </w:r>
      <w:r>
        <w:t xml:space="preserve">[number]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Aastakäive:</w:t>
      </w:r>
      <w:r>
        <w:t xml:space="preserve"> </w:t>
      </w:r>
      <w:r>
        <w:t xml:space="preserve">[number] EUR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Bilansimaht:</w:t>
      </w:r>
      <w:r>
        <w:t xml:space="preserve"> </w:t>
      </w:r>
      <w:r>
        <w:t xml:space="preserve">[number] EUR</w:t>
      </w:r>
    </w:p>
    <w:p>
      <w:pPr>
        <w:pStyle w:val="Compact"/>
        <w:numPr>
          <w:ilvl w:val="0"/>
          <w:numId w:val="1002"/>
        </w:numPr>
      </w:pPr>
      <w:r>
        <w:rPr>
          <w:bCs/>
          <w:b/>
        </w:rPr>
        <w:t xml:space="preserve">Partner- ja sidusettevõtted:</w:t>
      </w:r>
      <w:r>
        <w:t xml:space="preserve"> [loetelu või „ei ole“]; </w:t>
      </w:r>
      <w:r>
        <w:rPr>
          <w:bCs/>
          <w:b/>
        </w:rPr>
        <w:t xml:space="preserve">kas üksus on teenuste osutamisel kasutatavates süsteemides nendest sõltumatu (KüTS § 3 lg 7):</w:t>
      </w:r>
      <w:r>
        <w:t xml:space="preserve"> [jah/ei]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Varasem kohustus:</w:t>
      </w:r>
      <w:r>
        <w:t xml:space="preserve"> </w:t>
      </w:r>
      <w:r>
        <w:t xml:space="preserve">[kas organisatsioon oli enne 01.01.2026 KüTS-i subjekt]</w:t>
      </w:r>
    </w:p>
    <w:p>
      <w:pPr>
        <w:pStyle w:val="BlockText"/>
      </w:pPr>
      <w:r>
        <w:t xml:space="preserve">Ei piisa ainult sektorist ega ainult suurusest. Kontrolli, kas sinu tegevus on KüTS § 3 loetelus ja kas selle kategooria suuruskriteerium on täidetud (tavaliselt vähemalt 50 töötajat JA aastakäive või bilansimaht üle 10 mln €; üliolulistel 250 töötajat JA bilanss üle 43 mln € või käive üle 50 mln €).</w:t>
      </w:r>
    </w:p>
    <w:p>
      <w:pPr>
        <w:pStyle w:val="BlockText"/>
      </w:pPr>
      <w:r>
        <w:t xml:space="preserve">Mõned kategooriad kehtivad suurusest sõltumata (KüTS § 3 lg 2 ja lg 4).</w:t>
      </w:r>
    </w:p>
    <w:p>
      <w:pPr>
        <w:pStyle w:val="BlockText"/>
      </w:pPr>
      <w:r>
        <w:t xml:space="preserve">Grupi andmeid ei liideta automaatselt. Partneri- ja sidusettevõtja andmeid ei arvestata, kui üksus on teenuste osutamisel kasutatavates süsteemides nendest sõltumatu (KüTS § 3 lg 7).</w:t>
      </w:r>
    </w:p>
    <w:bookmarkEnd w:id="21"/>
    <w:bookmarkStart w:id="22" w:name="roll-ja-kohustus"/>
    <w:p>
      <w:pPr>
        <w:pStyle w:val="Heading2"/>
      </w:pPr>
      <w:r>
        <w:t xml:space="preserve">3. Roll ja kohustus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Roll:</w:t>
      </w:r>
      <w:r>
        <w:t xml:space="preserve"> </w:t>
      </w:r>
      <w:r>
        <w:t xml:space="preserve">[teenuseosutaja / domeeninimede registreerija / tarnija / muu]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Kohaldamise alus:</w:t>
      </w:r>
      <w:r>
        <w:t xml:space="preserve"> </w:t>
      </w:r>
      <w:r>
        <w:t xml:space="preserve">[KüTS § / sektori lisa / RIA juhis]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RIA teavituse kuupäev:</w:t>
      </w:r>
      <w:r>
        <w:t xml:space="preserve"> </w:t>
      </w:r>
      <w:r>
        <w:t xml:space="preserve">[pp.kk.aaaa] või [ei ole veel]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Teavituse viide:</w:t>
      </w:r>
      <w:r>
        <w:t xml:space="preserve"> </w:t>
      </w:r>
      <w:r>
        <w:t xml:space="preserve">[number]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Turvameetmed (art 21 lg 2):</w:t>
      </w:r>
      <w:r>
        <w:t xml:space="preserve"> märgi iga punkti kohta, kas see on rakendatud (jah / osaliselt / ei) ja mis on tõend.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(a) Riskianalüüs ja infosüsteemide turvalisuse poliitika:</w:t>
      </w:r>
      <w:r>
        <w:t xml:space="preserve"> [jah / osaliselt / ei]; </w:t>
      </w:r>
      <w:r>
        <w:rPr>
          <w:bCs/>
          <w:b/>
        </w:rPr>
        <w:t xml:space="preserve">tõend:</w:t>
      </w:r>
      <w:r>
        <w:t xml:space="preserve"> [viide]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(b) Intsidentide käsitlemine:</w:t>
      </w:r>
      <w:r>
        <w:t xml:space="preserve"> [jah / osaliselt / ei]; </w:t>
      </w:r>
      <w:r>
        <w:rPr>
          <w:bCs/>
          <w:b/>
        </w:rPr>
        <w:t xml:space="preserve">tõend:</w:t>
      </w:r>
      <w:r>
        <w:t xml:space="preserve"> [viide]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(c) Toimepidevus, varukoopiate haldus ja taastamine ning kriisijuhtimine:</w:t>
      </w:r>
      <w:r>
        <w:t xml:space="preserve"> [jah / osaliselt / ei]; </w:t>
      </w:r>
      <w:r>
        <w:rPr>
          <w:bCs/>
          <w:b/>
        </w:rPr>
        <w:t xml:space="preserve">tõend:</w:t>
      </w:r>
      <w:r>
        <w:t xml:space="preserve"> [viide]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(d) Tarneahela turvalisus:</w:t>
      </w:r>
      <w:r>
        <w:t xml:space="preserve"> [jah / osaliselt / ei]; </w:t>
      </w:r>
      <w:r>
        <w:rPr>
          <w:bCs/>
          <w:b/>
        </w:rPr>
        <w:t xml:space="preserve">tõend:</w:t>
      </w:r>
      <w:r>
        <w:t xml:space="preserve"> [viide]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(e) Turvalisus hankimisel, arendamisel ja hooldamisel:</w:t>
      </w:r>
      <w:r>
        <w:t xml:space="preserve"> [jah / osaliselt / ei]; </w:t>
      </w:r>
      <w:r>
        <w:rPr>
          <w:bCs/>
          <w:b/>
        </w:rPr>
        <w:t xml:space="preserve">tõend:</w:t>
      </w:r>
      <w:r>
        <w:t xml:space="preserve"> [viide]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(f) Riskijuhtimismeetmete tõhususe hindamine:</w:t>
      </w:r>
      <w:r>
        <w:t xml:space="preserve"> [jah / osaliselt / ei]; </w:t>
      </w:r>
      <w:r>
        <w:rPr>
          <w:bCs/>
          <w:b/>
        </w:rPr>
        <w:t xml:space="preserve">tõend:</w:t>
      </w:r>
      <w:r>
        <w:t xml:space="preserve"> [viide]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(g) Küberhügieen ja küberturvalisuse koolitus:</w:t>
      </w:r>
      <w:r>
        <w:t xml:space="preserve"> [jah / osaliselt / ei]; </w:t>
      </w:r>
      <w:r>
        <w:rPr>
          <w:bCs/>
          <w:b/>
        </w:rPr>
        <w:t xml:space="preserve">tõend:</w:t>
      </w:r>
      <w:r>
        <w:t xml:space="preserve"> [viide]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(h) Krüptograafia ja krüpteerimine:</w:t>
      </w:r>
      <w:r>
        <w:t xml:space="preserve"> [jah / osaliselt / ei]; </w:t>
      </w:r>
      <w:r>
        <w:rPr>
          <w:bCs/>
          <w:b/>
        </w:rPr>
        <w:t xml:space="preserve">tõend:</w:t>
      </w:r>
      <w:r>
        <w:t xml:space="preserve"> [viide]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(i) Personaliturvalisus, juurdepääsukontroll ja varahaldus:</w:t>
      </w:r>
      <w:r>
        <w:t xml:space="preserve"> [jah / osaliselt / ei]; </w:t>
      </w:r>
      <w:r>
        <w:rPr>
          <w:bCs/>
          <w:b/>
        </w:rPr>
        <w:t xml:space="preserve">tõend:</w:t>
      </w:r>
      <w:r>
        <w:t xml:space="preserve"> [viide]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(j) Mitmefaktorautentimine ja turvaline side (sh hädaolukorra side):</w:t>
      </w:r>
      <w:r>
        <w:t xml:space="preserve"> [jah / osaliselt / ei]; </w:t>
      </w:r>
      <w:r>
        <w:rPr>
          <w:bCs/>
          <w:b/>
        </w:rPr>
        <w:t xml:space="preserve">tõend:</w:t>
      </w:r>
      <w:r>
        <w:t xml:space="preserve"> [viide]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Juhtorgani kohustused (art 20 / KüTS § 6¹):</w:t>
      </w:r>
      <w:r>
        <w:t xml:space="preserve"> [jah / osaliselt / ei]; </w:t>
      </w:r>
      <w:r>
        <w:rPr>
          <w:bCs/>
          <w:b/>
        </w:rPr>
        <w:t xml:space="preserve">tõend:</w:t>
      </w:r>
      <w:r>
        <w:t xml:space="preserve"> [viide]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Intsidendist teatamine (KüTS § 8):</w:t>
      </w:r>
      <w:r>
        <w:t xml:space="preserve"> olulise mõjuga küberintsidendi korral esmane teade hiljemalt 24 tunni jooksul, intsidenditeade hiljemalt 72 tunni jooksul ja lõpparuanne ühe kuu jooksul intsidenditeate esitamisest. Kanal: RIA raport (CERT-EE). Vabatahtlik teatamine: KüTS § 8¹.</w:t>
      </w:r>
    </w:p>
    <w:p>
      <w:pPr>
        <w:pStyle w:val="Compact"/>
        <w:numPr>
          <w:ilvl w:val="0"/>
          <w:numId w:val="1003"/>
        </w:numPr>
      </w:pPr>
      <w:r>
        <w:rPr>
          <w:bCs/>
          <w:b/>
        </w:rPr>
        <w:t xml:space="preserve">Isikuandmete rikkumine (GDPR art 33):</w:t>
      </w:r>
      <w:r>
        <w:t xml:space="preserve"> Andmekaitse Inspektsioonile (AKI) 72 tunni jooksul, kui rikkumine tõenäoliselt ohustab füüsiliste isikute õigusi ja vabadusi; volitatud töötleja teavitab vastutavat töötlejat viivitamata.</w:t>
      </w:r>
    </w:p>
    <w:bookmarkEnd w:id="22"/>
    <w:bookmarkStart w:id="23" w:name="järeldus"/>
    <w:p>
      <w:pPr>
        <w:pStyle w:val="Heading2"/>
      </w:pPr>
      <w:r>
        <w:t xml:space="preserve">4. Järeldus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Hinnang:</w:t>
      </w:r>
      <w:r>
        <w:t xml:space="preserve"> </w:t>
      </w:r>
      <w:r>
        <w:t xml:space="preserve">[kohaldub / tõenäoliselt ei kohaldu / vajab lisanõu]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Põhjendus:</w:t>
      </w:r>
      <w:r>
        <w:t xml:space="preserve"> </w:t>
      </w:r>
      <w:r>
        <w:t xml:space="preserve">[2–5 lauset sektori, teenuse, suuruse ja rolli kohta]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Tingimused või erandid:</w:t>
      </w:r>
      <w:r>
        <w:t xml:space="preserve"> </w:t>
      </w:r>
      <w:r>
        <w:t xml:space="preserve">[loetelu]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Risk, kui hinnang on vale:</w:t>
      </w:r>
      <w:r>
        <w:t xml:space="preserve"> </w:t>
      </w:r>
      <w:r>
        <w:t xml:space="preserve">[lühikirjeldus]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Järgmine samm:</w:t>
      </w:r>
      <w:r>
        <w:t xml:space="preserve"> </w:t>
      </w:r>
      <w:r>
        <w:t xml:space="preserve">[registreerimine / riskianalüüs / audit / jälgimine]</w:t>
      </w:r>
    </w:p>
    <w:bookmarkEnd w:id="23"/>
    <w:bookmarkStart w:id="24" w:name="tõendid"/>
    <w:p>
      <w:pPr>
        <w:pStyle w:val="Heading2"/>
      </w:pPr>
      <w:r>
        <w:t xml:space="preserve">5. Tõendid</w:t>
      </w:r>
    </w:p>
    <w:p>
      <w:pPr>
        <w:numPr>
          <w:ilvl w:val="0"/>
          <w:numId w:val="1005"/>
        </w:numPr>
        <w:pStyle w:val="Compact"/>
      </w:pPr>
      <w:r>
        <w:t xml:space="preserve">☐ Äriregistri väljavõte</w:t>
      </w:r>
    </w:p>
    <w:p>
      <w:pPr>
        <w:numPr>
          <w:ilvl w:val="0"/>
          <w:numId w:val="1005"/>
        </w:numPr>
        <w:pStyle w:val="Compact"/>
      </w:pPr>
      <w:r>
        <w:t xml:space="preserve">☐ RIA teavituse kinnitus</w:t>
      </w:r>
    </w:p>
    <w:p>
      <w:pPr>
        <w:numPr>
          <w:ilvl w:val="0"/>
          <w:numId w:val="1005"/>
        </w:numPr>
        <w:pStyle w:val="Compact"/>
      </w:pPr>
      <w:r>
        <w:t xml:space="preserve">☐ Sektori ja tegevusala klassifikatsioon</w:t>
      </w:r>
    </w:p>
    <w:p>
      <w:pPr>
        <w:numPr>
          <w:ilvl w:val="0"/>
          <w:numId w:val="1005"/>
        </w:numPr>
        <w:pStyle w:val="Compact"/>
      </w:pPr>
      <w:r>
        <w:t xml:space="preserve">☐ Grupi struktuuri ja suuruse tõend</w:t>
      </w:r>
    </w:p>
    <w:p>
      <w:pPr>
        <w:numPr>
          <w:ilvl w:val="0"/>
          <w:numId w:val="1005"/>
        </w:numPr>
        <w:pStyle w:val="Compact"/>
      </w:pPr>
      <w:r>
        <w:t xml:space="preserve">☐ Õiguslik hinnang või nõustaja memo</w:t>
      </w:r>
    </w:p>
    <w:p>
      <w:pPr>
        <w:numPr>
          <w:ilvl w:val="0"/>
          <w:numId w:val="1005"/>
        </w:numPr>
        <w:pStyle w:val="Compact"/>
      </w:pPr>
      <w:r>
        <w:t xml:space="preserve">☐ Juhatuse otsus / riskijäägi kinnitamine</w:t>
      </w:r>
    </w:p>
    <w:bookmarkEnd w:id="24"/>
    <w:bookmarkStart w:id="25" w:name="kinnitamine"/>
    <w:p>
      <w:pPr>
        <w:pStyle w:val="Heading2"/>
      </w:pPr>
      <w:r>
        <w:t xml:space="preserve">6. Kinnitamine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Allkiri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Kuupäev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Vastutav juhatuse liige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[nimi]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Infoturbe eest vastutaja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[nimi]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Õigus/nõustaja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[nimi]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allikad"/>
    <w:p>
      <w:pPr>
        <w:pStyle w:val="Heading2"/>
      </w:pPr>
      <w:r>
        <w:t xml:space="preserve">Allikad</w:t>
      </w:r>
    </w:p>
    <w:p>
      <w:pPr>
        <w:pStyle w:val="Compact"/>
        <w:numPr>
          <w:ilvl w:val="0"/>
          <w:numId w:val="1006"/>
        </w:numPr>
      </w:pPr>
      <w:r>
        <w:t xml:space="preserve">KüTS kehtiv redaktsioon 16.10.2026 (RT I, 06.10.2026, 2; muutmise seadus RT I, 06.10.2026, 1):</w:t>
      </w:r>
      <w:r>
        <w:t xml:space="preserve"> </w:t>
      </w:r>
      <w:hyperlink r:id="rId26">
        <w:r>
          <w:rPr>
            <w:rStyle w:val="Hyperlink"/>
          </w:rPr>
          <w:t xml:space="preserve">https://www.riigiteataja.ee/akt/106102026002</w:t>
        </w:r>
      </w:hyperlink>
    </w:p>
    <w:p>
      <w:pPr>
        <w:pStyle w:val="Compact"/>
        <w:numPr>
          <w:ilvl w:val="0"/>
          <w:numId w:val="1006"/>
        </w:numPr>
      </w:pPr>
      <w:r>
        <w:t xml:space="preserve">NIS2 direktiiv (EL) 2022/2555 (art 20 ja art 21 lg 2):</w:t>
      </w:r>
      <w:r>
        <w:t xml:space="preserve"> </w:t>
      </w:r>
      <w:r>
        <w:t xml:space="preserve">https://eur-lex.europa.eu/eli/dir/2022/2555/oj</w:t>
      </w:r>
    </w:p>
    <w:p>
      <w:pPr>
        <w:numPr>
          <w:ilvl w:val="0"/>
          <w:numId w:val="1006"/>
        </w:numPr>
        <w:pStyle w:val="Compact"/>
      </w:pPr>
      <w:r>
        <w:t xml:space="preserve">RIA:</w:t>
      </w:r>
      <w:r>
        <w:t xml:space="preserve"> </w:t>
      </w:r>
      <w:hyperlink r:id="rId27">
        <w:r>
          <w:rPr>
            <w:rStyle w:val="Hyperlink"/>
          </w:rPr>
          <w:t xml:space="preserve">https://www.ria.ee/</w:t>
        </w:r>
      </w:hyperlink>
    </w:p>
    <w:p>
      <w:pPr>
        <w:pStyle w:val="Compact"/>
        <w:numPr>
          <w:ilvl w:val="0"/>
          <w:numId w:val="1006"/>
        </w:numPr>
      </w:pPr>
      <w:r>
        <w:t xml:space="preserve">EIS NIS2 toetus (olek kontrollitud 27.10.2026; kontrolli enne taotlemist):</w:t>
      </w:r>
      <w:r>
        <w:t xml:space="preserve"> </w:t>
      </w:r>
      <w:hyperlink r:id="rId28">
        <w:r>
          <w:rPr>
            <w:rStyle w:val="Hyperlink"/>
          </w:rPr>
          <w:t xml:space="preserve">https://eis.ee/teenused/kuberturbe-tostmine-nis2/</w:t>
        </w:r>
      </w:hyperlink>
    </w:p>
    <w:p>
      <w:pPr>
        <w:pStyle w:val="BlockText"/>
      </w:pPr>
      <w:r>
        <w:rPr>
          <w:bCs/>
          <w:b/>
        </w:rPr>
        <w:t xml:space="preserve">Hoiatus:</w:t>
      </w:r>
      <w:r>
        <w:t xml:space="preserve"> </w:t>
      </w:r>
      <w:r>
        <w:t xml:space="preserve">see mall ei tõenda vastavust ega asenda registreerimist, riskianalüüsi ega auditit. Kontrolli alati kehtivat seadust ja RIA juhiseid.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eis.ee/teenused/kuberturbe-tostmine-nis2/" TargetMode="External" /><Relationship Type="http://schemas.openxmlformats.org/officeDocument/2006/relationships/hyperlink" Id="rId27" Target="https://www.ria.ee/" TargetMode="External" /><Relationship Type="http://schemas.openxmlformats.org/officeDocument/2006/relationships/hyperlink" Id="rId26" Target="https://www.riigiteataja.ee/akt/1061020260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is.ee/teenused/kuberturbe-tostmine-nis2/" TargetMode="External" /><Relationship Type="http://schemas.openxmlformats.org/officeDocument/2006/relationships/hyperlink" Id="rId27" Target="https://www.ria.ee/" TargetMode="External" /><Relationship Type="http://schemas.openxmlformats.org/officeDocument/2006/relationships/hyperlink" Id="rId26" Target="https://www.riigiteataja.ee/akt/1061020260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NIS2 kohaldamismemo (mall)</dc:title>
  <dc:creator/>
  <dc:language>et</dc:language>
  <cp:keywords/>
  <dcterms:created xsi:type="dcterms:W3CDTF">2026-10-24T10:28:23Z</dcterms:created>
  <dcterms:modified xsi:type="dcterms:W3CDTF">2026-10-27T12:00:00Z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2026-10-24</vt:lpwstr>
  </property>
  <property fmtid="{D5CDD505-2E9C-101B-9397-08002B2CF9AE}" pid="3" name="subtitle">
    <vt:lpwstr>Küberturvalisuse seaduse (KüTS) kohaldamise hinnang</vt:lpwstr>
  </property>
</Properties>
</file>