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NIS2</w:t>
      </w:r>
      <w:r>
        <w:t xml:space="preserve"> </w:t>
      </w:r>
      <w:r>
        <w:t xml:space="preserve">kohaldamismemo</w:t>
      </w:r>
      <w:r>
        <w:t xml:space="preserve"> </w:t>
      </w:r>
      <w:r>
        <w:t xml:space="preserve">(mall)</w:t>
      </w:r>
    </w:p>
    <w:p>
      <w:pPr>
        <w:pStyle w:val="Subtitle"/>
      </w:pPr>
      <w:r>
        <w:t xml:space="preserve">Küberturvalisuse</w:t>
      </w:r>
      <w:r>
        <w:t xml:space="preserve"> </w:t>
      </w:r>
      <w:r>
        <w:t xml:space="preserve">seaduse</w:t>
      </w:r>
      <w:r>
        <w:t xml:space="preserve"> </w:t>
      </w:r>
      <w:r>
        <w:t xml:space="preserve">(KüTS)</w:t>
      </w:r>
      <w:r>
        <w:t xml:space="preserve"> </w:t>
      </w:r>
      <w:r>
        <w:t xml:space="preserve">kohaldamise</w:t>
      </w:r>
      <w:r>
        <w:t xml:space="preserve"> </w:t>
      </w:r>
      <w:r>
        <w:t xml:space="preserve">hinnang</w:t>
      </w:r>
    </w:p>
    <w:p>
      <w:pPr>
        <w:pStyle w:val="Date"/>
      </w:pPr>
      <w:r>
        <w:t xml:space="preserve">2026-10-24</w:t>
      </w:r>
    </w:p>
    <w:bookmarkStart w:id="30" w:name="nis2-kohaldamismemo-mall"/>
    <w:p>
      <w:pPr>
        <w:pStyle w:val="Heading1"/>
      </w:pPr>
      <w:r>
        <w:t xml:space="preserve">NIS2 kohaldamismemo (mall)</w:t>
      </w:r>
    </w:p>
    <w:p>
      <w:pPr>
        <w:pStyle w:val="BlockText"/>
      </w:pPr>
      <w:r>
        <w:rPr>
          <w:bCs/>
          <w:b/>
        </w:rPr>
        <w:t xml:space="preserve">Kuidas kasutada:</w:t>
      </w:r>
      <w:r>
        <w:t xml:space="preserve"> </w:t>
      </w:r>
      <w:r>
        <w:t xml:space="preserve">täida nurksulgudes väljad oma organisatsiooni andmetega, kustuta mittevajalikud read ja säilita tõendid. See mall on kontrollnimekiri ja dokumenteerimise raamistik, mitte õigusnõu. Lõpliku hinnangu andmiseks kontrolli kehtivat KüTS-i ja vajadusel küsi nõu.</w:t>
      </w:r>
    </w:p>
    <w:p>
      <w:pPr>
        <w:pStyle w:val="FirstParagraph"/>
      </w:pPr>
      <w:r>
        <w:rPr>
          <w:bCs/>
          <w:b/>
        </w:rPr>
        <w:t xml:space="preserve">Organisatsioon:</w:t>
      </w:r>
      <w:r>
        <w:t xml:space="preserve"> </w:t>
      </w:r>
      <w:r>
        <w:t xml:space="preserve">[nimi]</w:t>
      </w:r>
      <w:r>
        <w:br/>
      </w:r>
      <w:r>
        <w:rPr>
          <w:bCs/>
          <w:b/>
        </w:rPr>
        <w:t xml:space="preserve">Registrikood:</w:t>
      </w:r>
      <w:r>
        <w:t xml:space="preserve"> </w:t>
      </w:r>
      <w:r>
        <w:t xml:space="preserve">[number]</w:t>
      </w:r>
      <w:r>
        <w:br/>
      </w:r>
      <w:r>
        <w:rPr>
          <w:bCs/>
          <w:b/>
        </w:rPr>
        <w:t xml:space="preserve">Koostaja ja roll:</w:t>
      </w:r>
      <w:r>
        <w:t xml:space="preserve"> </w:t>
      </w:r>
      <w:r>
        <w:t xml:space="preserve">[nimi, amet]</w:t>
      </w:r>
      <w:r>
        <w:br/>
      </w:r>
      <w:r>
        <w:rPr>
          <w:bCs/>
          <w:b/>
        </w:rPr>
        <w:t xml:space="preserve">Kuupäev:</w:t>
      </w:r>
      <w:r>
        <w:t xml:space="preserve"> </w:t>
      </w:r>
      <w:r>
        <w:t xml:space="preserve">[pp.kk.aaaa]</w:t>
      </w:r>
      <w:r>
        <w:br/>
      </w:r>
      <w:r>
        <w:rPr>
          <w:bCs/>
          <w:b/>
        </w:rPr>
        <w:t xml:space="preserve">Ülevaatamise kuupäev:</w:t>
      </w:r>
      <w:r>
        <w:t xml:space="preserve"> </w:t>
      </w:r>
      <w:r>
        <w:t xml:space="preserve">[pp.kk.aaaa]</w:t>
      </w:r>
    </w:p>
    <w:bookmarkStart w:id="20" w:name="tegevus-ja-sektor"/>
    <w:p>
      <w:pPr>
        <w:pStyle w:val="Heading2"/>
      </w:pPr>
      <w:r>
        <w:t xml:space="preserve">1. Tegevus ja sektor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Põhitegevus:</w:t>
      </w:r>
      <w:r>
        <w:t xml:space="preserve"> </w:t>
      </w:r>
      <w:r>
        <w:t xml:space="preserve">[lühikirjeldus]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Teenused, mida osutad:</w:t>
      </w:r>
      <w:r>
        <w:t xml:space="preserve"> </w:t>
      </w:r>
      <w:r>
        <w:t xml:space="preserve">[loetelu]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KüTS-i sektor (lisa I või II):</w:t>
      </w:r>
      <w:r>
        <w:t xml:space="preserve"> </w:t>
      </w:r>
      <w:r>
        <w:t xml:space="preserve">[sektor või „ei kohaldu“]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Riigid, kus teenust osutad:</w:t>
      </w:r>
      <w:r>
        <w:t xml:space="preserve"> </w:t>
      </w:r>
      <w:r>
        <w:t xml:space="preserve">[loetelu]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Reguleeriv asutus:</w:t>
      </w:r>
      <w:r>
        <w:t xml:space="preserve"> </w:t>
      </w:r>
      <w:r>
        <w:t xml:space="preserve">[RIA / muu]</w:t>
      </w:r>
    </w:p>
    <w:bookmarkEnd w:id="20"/>
    <w:bookmarkStart w:id="21" w:name="suurus-ja-grupp"/>
    <w:p>
      <w:pPr>
        <w:pStyle w:val="Heading2"/>
      </w:pPr>
      <w:r>
        <w:t xml:space="preserve">2. Suurus ja grupp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Töötajate arv:</w:t>
      </w:r>
      <w:r>
        <w:t xml:space="preserve"> </w:t>
      </w:r>
      <w:r>
        <w:t xml:space="preserve">[number]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Aastakäive:</w:t>
      </w:r>
      <w:r>
        <w:t xml:space="preserve"> </w:t>
      </w:r>
      <w:r>
        <w:t xml:space="preserve">[number] EUR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Bilansimaht:</w:t>
      </w:r>
      <w:r>
        <w:t xml:space="preserve"> </w:t>
      </w:r>
      <w:r>
        <w:t xml:space="preserve">[number] EUR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Kuulub gruppi:</w:t>
      </w:r>
      <w:r>
        <w:t xml:space="preserve"> </w:t>
      </w:r>
      <w:r>
        <w:t xml:space="preserve">[jah/ei];</w:t>
      </w:r>
      <w:r>
        <w:t xml:space="preserve"> </w:t>
      </w:r>
      <w:r>
        <w:rPr>
          <w:bCs/>
          <w:b/>
        </w:rPr>
        <w:t xml:space="preserve">grupitasandi näitajad:</w:t>
      </w:r>
      <w:r>
        <w:t xml:space="preserve"> </w:t>
      </w:r>
      <w:r>
        <w:t xml:space="preserve">[number]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Varasem kohustus:</w:t>
      </w:r>
      <w:r>
        <w:t xml:space="preserve"> </w:t>
      </w:r>
      <w:r>
        <w:t xml:space="preserve">[kas organisatsioon oli enne 01.01.2026 KüTS-i subjekt]</w:t>
      </w:r>
    </w:p>
    <w:p>
      <w:pPr>
        <w:pStyle w:val="BlockText"/>
      </w:pPr>
      <w:r>
        <w:t xml:space="preserve">Hinda suurust ja gruppi koos. Üksinda töötajate arv ei pruugi otsustada, kui tegevus vastab teatud teenuse või rolli tunnustele.</w:t>
      </w:r>
    </w:p>
    <w:bookmarkEnd w:id="21"/>
    <w:bookmarkStart w:id="22" w:name="roll-ja-kohustus"/>
    <w:p>
      <w:pPr>
        <w:pStyle w:val="Heading2"/>
      </w:pPr>
      <w:r>
        <w:t xml:space="preserve">3. Roll ja kohustus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Roll:</w:t>
      </w:r>
      <w:r>
        <w:t xml:space="preserve"> </w:t>
      </w:r>
      <w:r>
        <w:t xml:space="preserve">[teenuseosutaja / domeeninimede registreerija / tarnija / muu]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Kohaldamise alus:</w:t>
      </w:r>
      <w:r>
        <w:t xml:space="preserve"> </w:t>
      </w:r>
      <w:r>
        <w:t xml:space="preserve">[KüTS § / sektori lisa / RIA juhis]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RIA teavituse kuupäev:</w:t>
      </w:r>
      <w:r>
        <w:t xml:space="preserve"> </w:t>
      </w:r>
      <w:r>
        <w:t xml:space="preserve">[pp.kk.aaaa] või [ei ole veel]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Teavituse viide:</w:t>
      </w:r>
      <w:r>
        <w:t xml:space="preserve"> </w:t>
      </w:r>
      <w:r>
        <w:t xml:space="preserve">[number]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Esmased turvameetmed rakendatud:</w:t>
      </w:r>
      <w:r>
        <w:t xml:space="preserve"> </w:t>
      </w:r>
      <w:r>
        <w:t xml:space="preserve">[jah/osaliselt/ei];</w:t>
      </w:r>
      <w:r>
        <w:t xml:space="preserve"> </w:t>
      </w:r>
      <w:r>
        <w:rPr>
          <w:bCs/>
          <w:b/>
        </w:rPr>
        <w:t xml:space="preserve">tõend:</w:t>
      </w:r>
      <w:r>
        <w:t xml:space="preserve"> </w:t>
      </w:r>
      <w:r>
        <w:t xml:space="preserve">[viide]</w:t>
      </w:r>
    </w:p>
    <w:bookmarkEnd w:id="22"/>
    <w:bookmarkStart w:id="23" w:name="järeldus"/>
    <w:p>
      <w:pPr>
        <w:pStyle w:val="Heading2"/>
      </w:pPr>
      <w:r>
        <w:t xml:space="preserve">4. Järeldus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Hinnang:</w:t>
      </w:r>
      <w:r>
        <w:t xml:space="preserve"> </w:t>
      </w:r>
      <w:r>
        <w:t xml:space="preserve">[kohaldub / tõenäoliselt ei kohaldu / vajab lisanõu]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Põhjendus:</w:t>
      </w:r>
      <w:r>
        <w:t xml:space="preserve"> </w:t>
      </w:r>
      <w:r>
        <w:t xml:space="preserve">[2–5 lauset sektori, teenuse, suuruse ja rolli kohta]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Tingimused või erandid:</w:t>
      </w:r>
      <w:r>
        <w:t xml:space="preserve"> </w:t>
      </w:r>
      <w:r>
        <w:t xml:space="preserve">[loetelu]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Risk, kui hinnang on vale:</w:t>
      </w:r>
      <w:r>
        <w:t xml:space="preserve"> </w:t>
      </w:r>
      <w:r>
        <w:t xml:space="preserve">[lühikirjeldus]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Järgmine samm:</w:t>
      </w:r>
      <w:r>
        <w:t xml:space="preserve"> </w:t>
      </w:r>
      <w:r>
        <w:t xml:space="preserve">[registreerimine / riskianalüüs / audit / jälgimine]</w:t>
      </w:r>
    </w:p>
    <w:bookmarkEnd w:id="23"/>
    <w:bookmarkStart w:id="24" w:name="tõendid"/>
    <w:p>
      <w:pPr>
        <w:pStyle w:val="Heading2"/>
      </w:pPr>
      <w:r>
        <w:t xml:space="preserve">5. Tõendid</w:t>
      </w:r>
    </w:p>
    <w:p>
      <w:pPr>
        <w:numPr>
          <w:ilvl w:val="0"/>
          <w:numId w:val="1005"/>
        </w:numPr>
        <w:pStyle w:val="Compact"/>
      </w:pPr>
      <w:r>
        <w:t xml:space="preserve">☐ Äriregistri väljavõte</w:t>
      </w:r>
    </w:p>
    <w:p>
      <w:pPr>
        <w:numPr>
          <w:ilvl w:val="0"/>
          <w:numId w:val="1005"/>
        </w:numPr>
        <w:pStyle w:val="Compact"/>
      </w:pPr>
      <w:r>
        <w:t xml:space="preserve">☐ RIA teavituse kinnitus</w:t>
      </w:r>
    </w:p>
    <w:p>
      <w:pPr>
        <w:numPr>
          <w:ilvl w:val="0"/>
          <w:numId w:val="1005"/>
        </w:numPr>
        <w:pStyle w:val="Compact"/>
      </w:pPr>
      <w:r>
        <w:t xml:space="preserve">☐ Sektori ja tegevusala klassifikatsioon</w:t>
      </w:r>
    </w:p>
    <w:p>
      <w:pPr>
        <w:numPr>
          <w:ilvl w:val="0"/>
          <w:numId w:val="1005"/>
        </w:numPr>
        <w:pStyle w:val="Compact"/>
      </w:pPr>
      <w:r>
        <w:t xml:space="preserve">☐ Grupi struktuuri ja suuruse tõend</w:t>
      </w:r>
    </w:p>
    <w:p>
      <w:pPr>
        <w:numPr>
          <w:ilvl w:val="0"/>
          <w:numId w:val="1005"/>
        </w:numPr>
        <w:pStyle w:val="Compact"/>
      </w:pPr>
      <w:r>
        <w:t xml:space="preserve">☐ Õiguslik hinnang või nõustaja memo</w:t>
      </w:r>
    </w:p>
    <w:p>
      <w:pPr>
        <w:numPr>
          <w:ilvl w:val="0"/>
          <w:numId w:val="1005"/>
        </w:numPr>
        <w:pStyle w:val="Compact"/>
      </w:pPr>
      <w:r>
        <w:t xml:space="preserve">☐ Juhatuse otsus / riskijäägi kinnitamine</w:t>
      </w:r>
    </w:p>
    <w:bookmarkEnd w:id="24"/>
    <w:bookmarkStart w:id="25" w:name="kinnitamine"/>
    <w:p>
      <w:pPr>
        <w:pStyle w:val="Heading2"/>
      </w:pPr>
      <w:r>
        <w:t xml:space="preserve">6. Kinnitamine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Allkiri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Kuupäev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Vastutav juhatuse liige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[nimi]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Infoturbe eest vastutaja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[nimi]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Õigus/nõustaja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[nimi]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9" w:name="allikad"/>
    <w:p>
      <w:pPr>
        <w:pStyle w:val="Heading2"/>
      </w:pPr>
      <w:r>
        <w:t xml:space="preserve">Allikad</w:t>
      </w:r>
    </w:p>
    <w:p>
      <w:pPr>
        <w:numPr>
          <w:ilvl w:val="0"/>
          <w:numId w:val="1006"/>
        </w:numPr>
        <w:pStyle w:val="Compact"/>
      </w:pPr>
      <w:r>
        <w:t xml:space="preserve">Küberturvalisuse seadus (KüTS), kehtiv redaktsioon:</w:t>
      </w:r>
      <w:r>
        <w:t xml:space="preserve"> </w:t>
      </w:r>
      <w:hyperlink r:id="rId26">
        <w:r>
          <w:rPr>
            <w:rStyle w:val="Hyperlink"/>
          </w:rPr>
          <w:t xml:space="preserve">https://www.riigiteataja.ee/akt/106102026002</w:t>
        </w:r>
      </w:hyperlink>
    </w:p>
    <w:p>
      <w:pPr>
        <w:numPr>
          <w:ilvl w:val="0"/>
          <w:numId w:val="1006"/>
        </w:numPr>
        <w:pStyle w:val="Compact"/>
      </w:pPr>
      <w:r>
        <w:t xml:space="preserve">RIA:</w:t>
      </w:r>
      <w:r>
        <w:t xml:space="preserve"> </w:t>
      </w:r>
      <w:hyperlink r:id="rId27">
        <w:r>
          <w:rPr>
            <w:rStyle w:val="Hyperlink"/>
          </w:rPr>
          <w:t xml:space="preserve">https://www.ria.ee/</w:t>
        </w:r>
      </w:hyperlink>
    </w:p>
    <w:p>
      <w:pPr>
        <w:numPr>
          <w:ilvl w:val="0"/>
          <w:numId w:val="1006"/>
        </w:numPr>
        <w:pStyle w:val="Compact"/>
      </w:pPr>
      <w:r>
        <w:t xml:space="preserve">EIS NIS2 toetus:</w:t>
      </w:r>
      <w:r>
        <w:t xml:space="preserve"> </w:t>
      </w:r>
      <w:hyperlink r:id="rId28">
        <w:r>
          <w:rPr>
            <w:rStyle w:val="Hyperlink"/>
          </w:rPr>
          <w:t xml:space="preserve">https://eis.ee/teenused/kuberturbe-tostmine-nis2/</w:t>
        </w:r>
      </w:hyperlink>
    </w:p>
    <w:p>
      <w:pPr>
        <w:pStyle w:val="BlockText"/>
      </w:pPr>
      <w:r>
        <w:rPr>
          <w:bCs/>
          <w:b/>
        </w:rPr>
        <w:t xml:space="preserve">Hoiatus:</w:t>
      </w:r>
      <w:r>
        <w:t xml:space="preserve"> </w:t>
      </w:r>
      <w:r>
        <w:t xml:space="preserve">see mall ei tõenda vastavust ega asenda registreerimist, riskianalüüsi ega auditit. Kontrolli alati kehtivat seadust ja RIA juhiseid.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eis.ee/teenused/kuberturbe-tostmine-nis2/" TargetMode="External" /><Relationship Type="http://schemas.openxmlformats.org/officeDocument/2006/relationships/hyperlink" Id="rId27" Target="https://www.ria.ee/" TargetMode="External" /><Relationship Type="http://schemas.openxmlformats.org/officeDocument/2006/relationships/hyperlink" Id="rId26" Target="https://www.riigiteataja.ee/akt/1061020260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eis.ee/teenused/kuberturbe-tostmine-nis2/" TargetMode="External" /><Relationship Type="http://schemas.openxmlformats.org/officeDocument/2006/relationships/hyperlink" Id="rId27" Target="https://www.ria.ee/" TargetMode="External" /><Relationship Type="http://schemas.openxmlformats.org/officeDocument/2006/relationships/hyperlink" Id="rId26" Target="https://www.riigiteataja.ee/akt/1061020260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NIS2 kohaldamismemo (mall)</dc:title>
  <dc:creator/>
  <dc:language>et</dc:language>
  <cp:keywords/>
  <dcterms:created xsi:type="dcterms:W3CDTF">2026-10-24T10:28:23Z</dcterms:created>
  <dcterms:modified xsi:type="dcterms:W3CDTF">2026-10-24T10:28:23Z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2026-10-24</vt:lpwstr>
  </property>
  <property fmtid="{D5CDD505-2E9C-101B-9397-08002B2CF9AE}" pid="3" name="subtitle">
    <vt:lpwstr>Küberturvalisuse seaduse (KüTS) kohaldamise hinnang</vt:lpwstr>
  </property>
</Properties>
</file>