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del cliente — Gripper de láminas (ejemplo)</w:t>
      </w:r>
    </w:p>
    <w:p>
      <w:r>
        <w:t>Documento de ejemplo para probar la carga de archivos .docx en la interfaz.</w:t>
      </w:r>
    </w:p>
    <w:p>
      <w:pPr>
        <w:pStyle w:val="Heading2"/>
      </w:pPr>
      <w:r>
        <w:t>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Método de verificación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300 ciclos consecutivos sin caída de pieza</w:t>
            </w:r>
          </w:p>
        </w:tc>
        <w:tc>
          <w:tcPr>
            <w:tcW w:type="dxa" w:w="2880"/>
          </w:tcPr>
          <w:p>
            <w:r>
              <w:t>Prueba en celda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Retención de la pieza &gt;= 60 s tras corte de energía</w:t>
            </w:r>
          </w:p>
        </w:tc>
        <w:tc>
          <w:tcPr>
            <w:tcW w:type="dxa" w:w="2880"/>
          </w:tcPr>
          <w:p>
            <w:r>
              <w:t>Prueba funcional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Sin marcas visibles en la lámina</w:t>
            </w:r>
          </w:p>
        </w:tc>
        <w:tc>
          <w:tcPr>
            <w:tcW w:type="dxa" w:w="2880"/>
          </w:tcPr>
          <w:p>
            <w:r>
              <w:t>Inspección visual con luz rasante</w:t>
            </w:r>
          </w:p>
        </w:tc>
      </w:tr>
      <w:tr>
        <w:tc>
          <w:tcPr>
            <w:tcW w:type="dxa" w:w="2880"/>
          </w:tcPr>
          <w:p>
            <w:r>
              <w:t>CA-04</w:t>
            </w:r>
          </w:p>
        </w:tc>
        <w:tc>
          <w:tcPr>
            <w:tcW w:type="dxa" w:w="2880"/>
          </w:tcPr>
          <w:p>
            <w:r>
              <w:t>Cambio de ventosa en menos de 5 minutos</w:t>
            </w:r>
          </w:p>
        </w:tc>
        <w:tc>
          <w:tcPr>
            <w:tcW w:type="dxa" w:w="2880"/>
          </w:tcPr>
          <w:p>
            <w:r>
              <w:t>Cronometraje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