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1B4E0" w14:textId="176D247A" w:rsidR="008F0826" w:rsidRDefault="008F0826"/>
    <w:tbl>
      <w:tblPr>
        <w:tblStyle w:val="TableGrid"/>
        <w:tblW w:w="10915" w:type="dxa"/>
        <w:tblInd w:w="-714" w:type="dxa"/>
        <w:tblLook w:val="04A0" w:firstRow="1" w:lastRow="0" w:firstColumn="1" w:lastColumn="0" w:noHBand="0" w:noVBand="1"/>
      </w:tblPr>
      <w:tblGrid>
        <w:gridCol w:w="1037"/>
        <w:gridCol w:w="1551"/>
        <w:gridCol w:w="1546"/>
        <w:gridCol w:w="2161"/>
        <w:gridCol w:w="4620"/>
      </w:tblGrid>
      <w:tr w:rsidR="008F0826" w14:paraId="7AE6F037" w14:textId="58D428F8" w:rsidTr="00D50D8E">
        <w:trPr>
          <w:trHeight w:val="286"/>
        </w:trPr>
        <w:tc>
          <w:tcPr>
            <w:tcW w:w="1037" w:type="dxa"/>
          </w:tcPr>
          <w:p w14:paraId="180278FB" w14:textId="5DD3A670" w:rsidR="008F0826" w:rsidRPr="00135E51" w:rsidRDefault="008F0826">
            <w:pPr>
              <w:rPr>
                <w:rFonts w:asciiTheme="majorHAnsi" w:hAnsiTheme="majorHAnsi" w:cs="Arial"/>
              </w:rPr>
            </w:pPr>
            <w:r w:rsidRPr="00135E51">
              <w:rPr>
                <w:rFonts w:asciiTheme="majorHAnsi" w:hAnsiTheme="majorHAnsi" w:cs="Arial"/>
              </w:rPr>
              <w:t>Theme</w:t>
            </w:r>
          </w:p>
        </w:tc>
        <w:tc>
          <w:tcPr>
            <w:tcW w:w="1551" w:type="dxa"/>
          </w:tcPr>
          <w:p w14:paraId="31E7EFDB" w14:textId="16EE6B32" w:rsidR="008F0826" w:rsidRPr="00135E51" w:rsidRDefault="008F0826">
            <w:pPr>
              <w:rPr>
                <w:rFonts w:asciiTheme="majorHAnsi" w:hAnsiTheme="majorHAnsi" w:cs="Arial"/>
              </w:rPr>
            </w:pPr>
            <w:r w:rsidRPr="00135E51">
              <w:rPr>
                <w:rFonts w:asciiTheme="majorHAnsi" w:hAnsiTheme="majorHAnsi" w:cs="Arial"/>
              </w:rPr>
              <w:t>Viewpoint</w:t>
            </w:r>
          </w:p>
        </w:tc>
        <w:tc>
          <w:tcPr>
            <w:tcW w:w="1546" w:type="dxa"/>
          </w:tcPr>
          <w:p w14:paraId="4E3E7114" w14:textId="6D0A3B52" w:rsidR="008F0826" w:rsidRPr="00135E51" w:rsidRDefault="008F0826">
            <w:pPr>
              <w:rPr>
                <w:rFonts w:asciiTheme="majorHAnsi" w:hAnsiTheme="majorHAnsi" w:cs="Arial"/>
              </w:rPr>
            </w:pPr>
            <w:r w:rsidRPr="00135E51">
              <w:rPr>
                <w:rFonts w:asciiTheme="majorHAnsi" w:hAnsiTheme="majorHAnsi" w:cs="Arial"/>
              </w:rPr>
              <w:t>Author</w:t>
            </w:r>
          </w:p>
        </w:tc>
        <w:tc>
          <w:tcPr>
            <w:tcW w:w="2161" w:type="dxa"/>
          </w:tcPr>
          <w:p w14:paraId="29E96C27" w14:textId="43BE0D1F" w:rsidR="008F0826" w:rsidRPr="00135E51" w:rsidRDefault="008F0826">
            <w:pPr>
              <w:rPr>
                <w:rFonts w:asciiTheme="majorHAnsi" w:hAnsiTheme="majorHAnsi" w:cs="Arial"/>
              </w:rPr>
            </w:pPr>
            <w:r w:rsidRPr="00135E51">
              <w:rPr>
                <w:rFonts w:asciiTheme="majorHAnsi" w:hAnsiTheme="majorHAnsi" w:cs="Arial"/>
              </w:rPr>
              <w:t>Methods</w:t>
            </w:r>
          </w:p>
        </w:tc>
        <w:tc>
          <w:tcPr>
            <w:tcW w:w="4620" w:type="dxa"/>
          </w:tcPr>
          <w:p w14:paraId="5E349F90" w14:textId="531CA1DE" w:rsidR="008F0826" w:rsidRPr="00135E51" w:rsidRDefault="008F0826">
            <w:pPr>
              <w:rPr>
                <w:rFonts w:asciiTheme="majorHAnsi" w:hAnsiTheme="majorHAnsi" w:cs="Arial"/>
              </w:rPr>
            </w:pPr>
            <w:r w:rsidRPr="00135E51">
              <w:rPr>
                <w:rFonts w:asciiTheme="majorHAnsi" w:hAnsiTheme="majorHAnsi" w:cs="Arial"/>
              </w:rPr>
              <w:t>Concrete Findings</w:t>
            </w:r>
          </w:p>
        </w:tc>
      </w:tr>
      <w:tr w:rsidR="005C1E96" w14:paraId="4C8B72A9" w14:textId="23DA3F9D" w:rsidTr="00D50D8E">
        <w:trPr>
          <w:trHeight w:val="429"/>
        </w:trPr>
        <w:tc>
          <w:tcPr>
            <w:tcW w:w="1037" w:type="dxa"/>
            <w:vMerge w:val="restart"/>
            <w:vAlign w:val="center"/>
          </w:tcPr>
          <w:p w14:paraId="089A6096" w14:textId="2BC3B33C" w:rsidR="005C1E96" w:rsidRPr="00135E51" w:rsidRDefault="005C1E96" w:rsidP="00E203B8">
            <w:pPr>
              <w:rPr>
                <w:rFonts w:asciiTheme="majorHAnsi" w:hAnsiTheme="majorHAnsi" w:cs="Arial"/>
                <w:sz w:val="16"/>
                <w:szCs w:val="16"/>
              </w:rPr>
            </w:pPr>
            <w:r w:rsidRPr="00135E51">
              <w:rPr>
                <w:rFonts w:asciiTheme="majorHAnsi" w:hAnsiTheme="majorHAnsi" w:cs="Arial"/>
                <w:sz w:val="16"/>
                <w:szCs w:val="16"/>
              </w:rPr>
              <w:t>Inflation</w:t>
            </w:r>
          </w:p>
        </w:tc>
        <w:tc>
          <w:tcPr>
            <w:tcW w:w="1551" w:type="dxa"/>
            <w:vMerge w:val="restart"/>
          </w:tcPr>
          <w:p w14:paraId="25781A42" w14:textId="59CC7000" w:rsidR="005C1E96" w:rsidRPr="00135E51" w:rsidRDefault="005C1E96">
            <w:pPr>
              <w:rPr>
                <w:rFonts w:asciiTheme="majorHAnsi" w:hAnsiTheme="majorHAnsi" w:cs="Arial"/>
                <w:sz w:val="16"/>
                <w:szCs w:val="16"/>
              </w:rPr>
            </w:pPr>
            <w:r w:rsidRPr="00135E51">
              <w:rPr>
                <w:rFonts w:asciiTheme="majorHAnsi" w:hAnsiTheme="majorHAnsi" w:cs="Arial"/>
                <w:sz w:val="16"/>
                <w:szCs w:val="16"/>
              </w:rPr>
              <w:t>Inflation positively effects Bitcoin adoption</w:t>
            </w:r>
          </w:p>
        </w:tc>
        <w:tc>
          <w:tcPr>
            <w:tcW w:w="1546" w:type="dxa"/>
          </w:tcPr>
          <w:p w14:paraId="226820E1" w14:textId="1192BEB5" w:rsidR="005C1E96" w:rsidRPr="00135E51" w:rsidRDefault="005C1E96">
            <w:pPr>
              <w:rPr>
                <w:rFonts w:asciiTheme="majorHAnsi" w:hAnsiTheme="majorHAnsi" w:cs="Arial"/>
                <w:sz w:val="16"/>
                <w:szCs w:val="16"/>
              </w:rPr>
            </w:pPr>
            <w:r w:rsidRPr="00135E51">
              <w:rPr>
                <w:rFonts w:asciiTheme="majorHAnsi" w:hAnsiTheme="majorHAnsi" w:cs="Arial"/>
                <w:sz w:val="16"/>
                <w:szCs w:val="16"/>
              </w:rPr>
              <w:t xml:space="preserve">Conlon et al. </w:t>
            </w:r>
            <w:r w:rsidRPr="00135E51">
              <w:rPr>
                <w:rFonts w:asciiTheme="majorHAnsi" w:hAnsiTheme="majorHAnsi" w:cs="Arial"/>
                <w:sz w:val="16"/>
                <w:szCs w:val="16"/>
              </w:rPr>
              <w:fldChar w:fldCharType="begin"/>
            </w:r>
            <w:r w:rsidRPr="00135E51">
              <w:rPr>
                <w:rFonts w:asciiTheme="majorHAnsi" w:hAnsiTheme="majorHAnsi" w:cs="Arial"/>
                <w:sz w:val="16"/>
                <w:szCs w:val="16"/>
              </w:rPr>
              <w:instrText xml:space="preserve"> ADDIN ZOTERO_ITEM CSL_CITATION {"citationID":"Fd98wkdU","properties":{"formattedCitation":"(2021)","plainCitation":"(2021)","noteIndex":0},"citationItems":[{"id":76,"uris":["http://zotero.org/users/local/wQZpxwFo/items/YJDNW9MG"],"itemData":{"id":76,"type":"article-journal","abstract":"This letter revisits the time-series relation between cryptocurrency prices and forward inflation expectations. Using wavelet time-scale techniques, a positive link between cryptocurrencies and forward inflation rates is identified, focused on a brief period surrounding the onset of the COVID19 pandemic. This coincides with a rapid and synchronized decrease in cryptocurrency prices and forward inflation expectations, followed by a swift recovery to pre-crisis levels. Outside of the crisis period, we find no clear evidence of any inflation hedging capacity of Bitcoin or Ethereum during times of increasing forward inflation expectations.","container-title":"Economics Letters","DOI":"10.1016/j.econlet.2021.109996","ISSN":"01651765","journalAbbreviation":"Economics Letters","language":"en","page":"109996","source":"DOI.org (Crossref)","title":"Inflation and cryptocurrencies revisited: A time-scale analysis","title-short":"Inflation and cryptocurrencies revisited","volume":"206","author":[{"family":"Conlon","given":"Thomas"},{"family":"Corbet","given":"Shaen"},{"family":"McGee","given":"Richard J."}],"issued":{"date-parts":[["2021",9]]},"citation-key":"conlonInflationCryptocurrenciesRevisited2021"},"label":"page","suppress-author":true}],"schema":"https://github.com/citation-style-language/schema/raw/master/csl-citation.json"} </w:instrText>
            </w:r>
            <w:r w:rsidRPr="00135E51">
              <w:rPr>
                <w:rFonts w:asciiTheme="majorHAnsi" w:hAnsiTheme="majorHAnsi" w:cs="Arial"/>
                <w:sz w:val="16"/>
                <w:szCs w:val="16"/>
              </w:rPr>
              <w:fldChar w:fldCharType="separate"/>
            </w:r>
            <w:r w:rsidRPr="00135E51">
              <w:rPr>
                <w:rFonts w:asciiTheme="majorHAnsi" w:hAnsiTheme="majorHAnsi" w:cs="Arial"/>
                <w:sz w:val="16"/>
              </w:rPr>
              <w:t>(2021)</w:t>
            </w:r>
            <w:r w:rsidRPr="00135E51">
              <w:rPr>
                <w:rFonts w:asciiTheme="majorHAnsi" w:hAnsiTheme="majorHAnsi" w:cs="Arial"/>
                <w:sz w:val="16"/>
                <w:szCs w:val="16"/>
              </w:rPr>
              <w:fldChar w:fldCharType="end"/>
            </w:r>
          </w:p>
        </w:tc>
        <w:tc>
          <w:tcPr>
            <w:tcW w:w="2161" w:type="dxa"/>
          </w:tcPr>
          <w:p w14:paraId="0B941F8F" w14:textId="424F65E5" w:rsidR="005C1E96" w:rsidRPr="00135E51" w:rsidRDefault="005C1E96">
            <w:pPr>
              <w:rPr>
                <w:rFonts w:asciiTheme="majorHAnsi" w:hAnsiTheme="majorHAnsi" w:cs="Arial"/>
                <w:sz w:val="16"/>
                <w:szCs w:val="16"/>
              </w:rPr>
            </w:pPr>
            <w:r w:rsidRPr="00135E51">
              <w:rPr>
                <w:rFonts w:asciiTheme="majorHAnsi" w:hAnsiTheme="majorHAnsi" w:cs="Arial"/>
                <w:sz w:val="16"/>
                <w:szCs w:val="16"/>
              </w:rPr>
              <w:t>Quantitative</w:t>
            </w:r>
            <w:r w:rsidR="000C0C74">
              <w:rPr>
                <w:rFonts w:asciiTheme="majorHAnsi" w:hAnsiTheme="majorHAnsi" w:cs="Arial"/>
                <w:sz w:val="16"/>
                <w:szCs w:val="16"/>
              </w:rPr>
              <w:t xml:space="preserve"> – Time Series </w:t>
            </w:r>
            <w:r w:rsidR="00FA1C6F">
              <w:rPr>
                <w:rFonts w:asciiTheme="majorHAnsi" w:hAnsiTheme="majorHAnsi" w:cs="Arial"/>
                <w:sz w:val="16"/>
                <w:szCs w:val="16"/>
              </w:rPr>
              <w:t xml:space="preserve">– Continuous Wavelet </w:t>
            </w:r>
            <w:r w:rsidR="001716AD">
              <w:rPr>
                <w:rFonts w:asciiTheme="majorHAnsi" w:hAnsiTheme="majorHAnsi" w:cs="Arial"/>
                <w:sz w:val="16"/>
                <w:szCs w:val="16"/>
              </w:rPr>
              <w:t>Transform</w:t>
            </w:r>
          </w:p>
        </w:tc>
        <w:tc>
          <w:tcPr>
            <w:tcW w:w="4620" w:type="dxa"/>
          </w:tcPr>
          <w:p w14:paraId="06C73DE2" w14:textId="429C72E2" w:rsidR="005C1E96" w:rsidRPr="00135E51" w:rsidRDefault="005F69D3">
            <w:pPr>
              <w:rPr>
                <w:rFonts w:asciiTheme="majorHAnsi" w:hAnsiTheme="majorHAnsi" w:cs="Arial"/>
                <w:sz w:val="16"/>
                <w:szCs w:val="16"/>
              </w:rPr>
            </w:pPr>
            <w:r w:rsidRPr="00135E51">
              <w:rPr>
                <w:rFonts w:asciiTheme="majorHAnsi" w:hAnsiTheme="majorHAnsi" w:cs="Arial"/>
                <w:sz w:val="16"/>
                <w:szCs w:val="16"/>
              </w:rPr>
              <w:t xml:space="preserve">Bitcoin price and US 5 year forward inflation expectation </w:t>
            </w:r>
            <w:proofErr w:type="gramStart"/>
            <w:r w:rsidRPr="00135E51">
              <w:rPr>
                <w:rFonts w:asciiTheme="majorHAnsi" w:hAnsiTheme="majorHAnsi" w:cs="Arial"/>
                <w:sz w:val="16"/>
                <w:szCs w:val="16"/>
              </w:rPr>
              <w:t>are</w:t>
            </w:r>
            <w:proofErr w:type="gramEnd"/>
            <w:r w:rsidRPr="00135E51">
              <w:rPr>
                <w:rFonts w:asciiTheme="majorHAnsi" w:hAnsiTheme="majorHAnsi" w:cs="Arial"/>
                <w:sz w:val="16"/>
                <w:szCs w:val="16"/>
              </w:rPr>
              <w:t xml:space="preserve"> positively correlated</w:t>
            </w:r>
            <w:r w:rsidR="001716AD">
              <w:rPr>
                <w:rFonts w:asciiTheme="majorHAnsi" w:hAnsiTheme="majorHAnsi" w:cs="Arial"/>
                <w:sz w:val="16"/>
                <w:szCs w:val="16"/>
              </w:rPr>
              <w:t>, however only during crisis times.</w:t>
            </w:r>
          </w:p>
        </w:tc>
      </w:tr>
      <w:tr w:rsidR="005C1E96" w14:paraId="1B08FECC" w14:textId="249DC465" w:rsidTr="00D50D8E">
        <w:trPr>
          <w:trHeight w:val="156"/>
        </w:trPr>
        <w:tc>
          <w:tcPr>
            <w:tcW w:w="1037" w:type="dxa"/>
            <w:vMerge/>
          </w:tcPr>
          <w:p w14:paraId="1CBAA2B3" w14:textId="77777777" w:rsidR="005C1E96" w:rsidRPr="00135E51" w:rsidRDefault="005C1E96" w:rsidP="00E203B8">
            <w:pPr>
              <w:rPr>
                <w:rFonts w:asciiTheme="majorHAnsi" w:hAnsiTheme="majorHAnsi" w:cs="Arial"/>
                <w:sz w:val="16"/>
                <w:szCs w:val="16"/>
              </w:rPr>
            </w:pPr>
          </w:p>
        </w:tc>
        <w:tc>
          <w:tcPr>
            <w:tcW w:w="1551" w:type="dxa"/>
            <w:vMerge/>
          </w:tcPr>
          <w:p w14:paraId="3F0076AF" w14:textId="77777777" w:rsidR="005C1E96" w:rsidRPr="00135E51" w:rsidRDefault="005C1E96">
            <w:pPr>
              <w:rPr>
                <w:rFonts w:asciiTheme="majorHAnsi" w:hAnsiTheme="majorHAnsi" w:cs="Arial"/>
                <w:sz w:val="16"/>
                <w:szCs w:val="16"/>
              </w:rPr>
            </w:pPr>
          </w:p>
        </w:tc>
        <w:tc>
          <w:tcPr>
            <w:tcW w:w="1546" w:type="dxa"/>
          </w:tcPr>
          <w:p w14:paraId="233D82C2" w14:textId="332BA64B" w:rsidR="005C1E96" w:rsidRPr="00135E51" w:rsidRDefault="005C1E96">
            <w:pPr>
              <w:rPr>
                <w:rFonts w:asciiTheme="majorHAnsi" w:hAnsiTheme="majorHAnsi" w:cs="Arial"/>
                <w:sz w:val="16"/>
                <w:szCs w:val="16"/>
              </w:rPr>
            </w:pPr>
            <w:r w:rsidRPr="00135E51">
              <w:rPr>
                <w:rFonts w:asciiTheme="majorHAnsi" w:hAnsiTheme="majorHAnsi" w:cs="Arial"/>
                <w:sz w:val="16"/>
                <w:szCs w:val="16"/>
              </w:rPr>
              <w:t xml:space="preserve">Choi &amp; Shin </w:t>
            </w:r>
            <w:r w:rsidRPr="00135E51">
              <w:rPr>
                <w:rFonts w:asciiTheme="majorHAnsi" w:hAnsiTheme="majorHAnsi" w:cs="Arial"/>
                <w:sz w:val="16"/>
                <w:szCs w:val="16"/>
              </w:rPr>
              <w:fldChar w:fldCharType="begin"/>
            </w:r>
            <w:r w:rsidRPr="00135E51">
              <w:rPr>
                <w:rFonts w:asciiTheme="majorHAnsi" w:hAnsiTheme="majorHAnsi" w:cs="Arial"/>
                <w:sz w:val="16"/>
                <w:szCs w:val="16"/>
              </w:rPr>
              <w:instrText xml:space="preserve"> ADDIN ZOTERO_ITEM CSL_CITATION {"citationID":"J0hvbCeW","properties":{"formattedCitation":"(2022)","plainCitation":"(2022)","noteIndex":0},"citationItems":[{"id":27,"uris":["http://zotero.org/users/local/wQZpxwFo/items/8WHJAPSW"],"itemData":{"id":27,"type":"article-journal","abstract":"During the recent COVID-19 pandemic, many commonalities shared by Bitcoin and gold raise the question of whether Bitcoin can hedge inflation or provide a safe haven as gold often does. By estimating a Vector Autoregression (VAR) model, we provide systematic evidence on the rela­ tionship among inflation, uncertainty, and Bitcoin and gold prices. Bitcoin appreciates against inflation (or inflation expectation) shocks, confirming its inflation-hedging property claimed by investors. However, unlike gold, Bitcoin prices decline in response to financial uncertainty shocks, rejecting the safe-haven quality. Interestingly, Bitcoin prices do not decrease after policy uncertainty shocks, partly consistent with the notion of Bitcoin’s independence from government authorities. We also find an interesting asymmetry in the drivers of Bitcoin price dynamics be­ tween the bullish and bearish market. The main findings hold with or without the COVID-19 pandemic episode.","container-title":"Finance Research Letters","DOI":"10.1016/j.frl.2021.102379","ISSN":"15446123","journalAbbreviation":"Finance Research Letters","language":"en","page":"102379","source":"DOI.org (Crossref)","title":"Bitcoin: An inflation hedge but not a safe haven","title-short":"Bitcoin","volume":"46","author":[{"family":"Choi","given":"Sangyup"},{"family":"Shin","given":"Junhyeok"}],"issued":{"date-parts":[["2022",5]]},"citation-key":"choiBitcoinInflationHedge2022"},"label":"page","suppress-author":true}],"schema":"https://github.com/citation-style-language/schema/raw/master/csl-citation.json"} </w:instrText>
            </w:r>
            <w:r w:rsidRPr="00135E51">
              <w:rPr>
                <w:rFonts w:asciiTheme="majorHAnsi" w:hAnsiTheme="majorHAnsi" w:cs="Arial"/>
                <w:sz w:val="16"/>
                <w:szCs w:val="16"/>
              </w:rPr>
              <w:fldChar w:fldCharType="separate"/>
            </w:r>
            <w:r w:rsidRPr="00135E51">
              <w:rPr>
                <w:rFonts w:asciiTheme="majorHAnsi" w:hAnsiTheme="majorHAnsi" w:cs="Arial"/>
                <w:sz w:val="16"/>
              </w:rPr>
              <w:t>(2022)</w:t>
            </w:r>
            <w:r w:rsidRPr="00135E51">
              <w:rPr>
                <w:rFonts w:asciiTheme="majorHAnsi" w:hAnsiTheme="majorHAnsi" w:cs="Arial"/>
                <w:sz w:val="16"/>
                <w:szCs w:val="16"/>
              </w:rPr>
              <w:fldChar w:fldCharType="end"/>
            </w:r>
          </w:p>
        </w:tc>
        <w:tc>
          <w:tcPr>
            <w:tcW w:w="2161" w:type="dxa"/>
          </w:tcPr>
          <w:p w14:paraId="0FD5E042" w14:textId="4CDB176A" w:rsidR="005C1E96" w:rsidRPr="00135E51" w:rsidRDefault="005C1E96">
            <w:pPr>
              <w:rPr>
                <w:rFonts w:asciiTheme="majorHAnsi" w:hAnsiTheme="majorHAnsi" w:cs="Arial"/>
                <w:sz w:val="16"/>
                <w:szCs w:val="16"/>
              </w:rPr>
            </w:pPr>
            <w:r w:rsidRPr="00135E51">
              <w:rPr>
                <w:rFonts w:asciiTheme="majorHAnsi" w:hAnsiTheme="majorHAnsi" w:cs="Arial"/>
                <w:sz w:val="16"/>
                <w:szCs w:val="16"/>
              </w:rPr>
              <w:t>Quantitative</w:t>
            </w:r>
            <w:r w:rsidR="005F69D3" w:rsidRPr="00135E51">
              <w:rPr>
                <w:rFonts w:asciiTheme="majorHAnsi" w:hAnsiTheme="majorHAnsi" w:cs="Arial"/>
                <w:sz w:val="16"/>
                <w:szCs w:val="16"/>
              </w:rPr>
              <w:t xml:space="preserve"> </w:t>
            </w:r>
            <w:r w:rsidR="000C0C74">
              <w:rPr>
                <w:rFonts w:asciiTheme="majorHAnsi" w:hAnsiTheme="majorHAnsi" w:cs="Arial"/>
                <w:sz w:val="16"/>
                <w:szCs w:val="16"/>
              </w:rPr>
              <w:t>– Time Series</w:t>
            </w:r>
            <w:r w:rsidR="00344AFA">
              <w:rPr>
                <w:rFonts w:asciiTheme="majorHAnsi" w:hAnsiTheme="majorHAnsi" w:cs="Arial"/>
                <w:sz w:val="16"/>
                <w:szCs w:val="16"/>
              </w:rPr>
              <w:t xml:space="preserve"> – Vector Autoregression</w:t>
            </w:r>
            <w:r w:rsidR="00AE0110">
              <w:rPr>
                <w:rFonts w:asciiTheme="majorHAnsi" w:hAnsiTheme="majorHAnsi" w:cs="Arial"/>
                <w:sz w:val="16"/>
                <w:szCs w:val="16"/>
              </w:rPr>
              <w:t xml:space="preserve"> at Weekly Frequency</w:t>
            </w:r>
          </w:p>
        </w:tc>
        <w:tc>
          <w:tcPr>
            <w:tcW w:w="4620" w:type="dxa"/>
          </w:tcPr>
          <w:p w14:paraId="5384207F" w14:textId="726A197B" w:rsidR="005C1E96" w:rsidRPr="00135E51" w:rsidRDefault="00A50EC9">
            <w:pPr>
              <w:rPr>
                <w:rFonts w:asciiTheme="majorHAnsi" w:hAnsiTheme="majorHAnsi" w:cs="Arial"/>
                <w:sz w:val="16"/>
                <w:szCs w:val="16"/>
              </w:rPr>
            </w:pPr>
            <w:r w:rsidRPr="00135E51">
              <w:rPr>
                <w:rFonts w:asciiTheme="majorHAnsi" w:hAnsiTheme="majorHAnsi" w:cs="Arial"/>
                <w:sz w:val="16"/>
                <w:szCs w:val="16"/>
              </w:rPr>
              <w:t>Findings suggest</w:t>
            </w:r>
            <w:r w:rsidR="005F69D3" w:rsidRPr="00135E51">
              <w:rPr>
                <w:rFonts w:asciiTheme="majorHAnsi" w:hAnsiTheme="majorHAnsi" w:cs="Arial"/>
                <w:sz w:val="16"/>
                <w:szCs w:val="16"/>
              </w:rPr>
              <w:t xml:space="preserve"> a positive relationship between Bitcoin prices and inflation</w:t>
            </w:r>
          </w:p>
        </w:tc>
      </w:tr>
      <w:tr w:rsidR="00A50EC9" w14:paraId="60487290" w14:textId="0EDF7EC2" w:rsidTr="00D50D8E">
        <w:trPr>
          <w:trHeight w:val="858"/>
        </w:trPr>
        <w:tc>
          <w:tcPr>
            <w:tcW w:w="1037" w:type="dxa"/>
            <w:vMerge/>
          </w:tcPr>
          <w:p w14:paraId="4323A223" w14:textId="77777777" w:rsidR="00A50EC9" w:rsidRPr="00135E51" w:rsidRDefault="00A50EC9" w:rsidP="00E203B8">
            <w:pPr>
              <w:rPr>
                <w:rFonts w:asciiTheme="majorHAnsi" w:hAnsiTheme="majorHAnsi" w:cs="Arial"/>
                <w:sz w:val="16"/>
                <w:szCs w:val="16"/>
              </w:rPr>
            </w:pPr>
          </w:p>
        </w:tc>
        <w:tc>
          <w:tcPr>
            <w:tcW w:w="1551" w:type="dxa"/>
            <w:vMerge/>
          </w:tcPr>
          <w:p w14:paraId="4910043D" w14:textId="77777777" w:rsidR="00A50EC9" w:rsidRPr="00135E51" w:rsidRDefault="00A50EC9">
            <w:pPr>
              <w:rPr>
                <w:rFonts w:asciiTheme="majorHAnsi" w:hAnsiTheme="majorHAnsi" w:cs="Arial"/>
                <w:sz w:val="16"/>
                <w:szCs w:val="16"/>
              </w:rPr>
            </w:pPr>
          </w:p>
        </w:tc>
        <w:tc>
          <w:tcPr>
            <w:tcW w:w="1546" w:type="dxa"/>
          </w:tcPr>
          <w:p w14:paraId="3F7C3E54" w14:textId="77B02A21" w:rsidR="00A50EC9" w:rsidRPr="00135E51" w:rsidRDefault="00A50EC9" w:rsidP="0016669C">
            <w:pPr>
              <w:rPr>
                <w:rFonts w:asciiTheme="majorHAnsi" w:hAnsiTheme="majorHAnsi" w:cs="Arial"/>
                <w:sz w:val="16"/>
                <w:szCs w:val="16"/>
              </w:rPr>
            </w:pPr>
            <w:proofErr w:type="spellStart"/>
            <w:r w:rsidRPr="00135E51">
              <w:rPr>
                <w:rFonts w:asciiTheme="majorHAnsi" w:hAnsiTheme="majorHAnsi" w:cs="Arial"/>
                <w:sz w:val="16"/>
                <w:szCs w:val="16"/>
              </w:rPr>
              <w:t>Taskinsoy</w:t>
            </w:r>
            <w:proofErr w:type="spellEnd"/>
            <w:r w:rsidRPr="00135E51">
              <w:rPr>
                <w:rFonts w:asciiTheme="majorHAnsi" w:hAnsiTheme="majorHAnsi" w:cs="Arial"/>
                <w:sz w:val="16"/>
                <w:szCs w:val="16"/>
              </w:rPr>
              <w:t xml:space="preserve"> </w:t>
            </w:r>
            <w:r w:rsidRPr="00135E51">
              <w:rPr>
                <w:rFonts w:asciiTheme="majorHAnsi" w:hAnsiTheme="majorHAnsi" w:cs="Arial"/>
                <w:sz w:val="16"/>
                <w:szCs w:val="16"/>
              </w:rPr>
              <w:fldChar w:fldCharType="begin"/>
            </w:r>
            <w:r w:rsidRPr="00135E51">
              <w:rPr>
                <w:rFonts w:asciiTheme="majorHAnsi" w:hAnsiTheme="majorHAnsi" w:cs="Arial"/>
                <w:sz w:val="16"/>
                <w:szCs w:val="16"/>
              </w:rPr>
              <w:instrText xml:space="preserve"> ADDIN ZOTERO_ITEM CSL_CITATION {"citationID":"EcdM6FdR","properties":{"formattedCitation":"(2019)","plainCitation":"(2019)","noteIndex":0},"citationItems":[{"id":86,"uris":["http://zotero.org/users/local/wQZpxwFo/items/LX6D3LLL"],"itemData":{"id":86,"type":"article-journal","journalAbbreviation":"SSRN","title":"Bitcoin and Turkey: A Good Match or a perfect Storm?","URL":"http://dx.doi.org/10.2139/ssrn.3477849","author":[{"family":"Taskinsoy","given":"John"}],"issued":{"date-parts":[["2019"]]},"citation-key":"taskinsoyBitcoinTurkeyGood2019"},"label":"page","suppress-author":true}],"schema":"https://github.com/citation-style-language/schema/raw/master/csl-citation.json"} </w:instrText>
            </w:r>
            <w:r w:rsidRPr="00135E51">
              <w:rPr>
                <w:rFonts w:asciiTheme="majorHAnsi" w:hAnsiTheme="majorHAnsi" w:cs="Arial"/>
                <w:sz w:val="16"/>
                <w:szCs w:val="16"/>
              </w:rPr>
              <w:fldChar w:fldCharType="separate"/>
            </w:r>
            <w:r w:rsidRPr="00135E51">
              <w:rPr>
                <w:rFonts w:asciiTheme="majorHAnsi" w:hAnsiTheme="majorHAnsi" w:cs="Arial"/>
                <w:sz w:val="16"/>
              </w:rPr>
              <w:t>(2019)</w:t>
            </w:r>
            <w:r w:rsidRPr="00135E51">
              <w:rPr>
                <w:rFonts w:asciiTheme="majorHAnsi" w:hAnsiTheme="majorHAnsi" w:cs="Arial"/>
                <w:sz w:val="16"/>
                <w:szCs w:val="16"/>
              </w:rPr>
              <w:fldChar w:fldCharType="end"/>
            </w:r>
          </w:p>
        </w:tc>
        <w:tc>
          <w:tcPr>
            <w:tcW w:w="2161" w:type="dxa"/>
          </w:tcPr>
          <w:p w14:paraId="067F64BE" w14:textId="77F16BDE" w:rsidR="00A50EC9" w:rsidRPr="00135E51" w:rsidRDefault="00A50EC9" w:rsidP="001E6415">
            <w:pPr>
              <w:rPr>
                <w:rFonts w:asciiTheme="majorHAnsi" w:hAnsiTheme="majorHAnsi" w:cs="Arial"/>
                <w:sz w:val="16"/>
                <w:szCs w:val="16"/>
              </w:rPr>
            </w:pPr>
            <w:r w:rsidRPr="00135E51">
              <w:rPr>
                <w:rFonts w:asciiTheme="majorHAnsi" w:hAnsiTheme="majorHAnsi" w:cs="Arial"/>
                <w:sz w:val="16"/>
                <w:szCs w:val="16"/>
              </w:rPr>
              <w:t>Case Study</w:t>
            </w:r>
            <w:r w:rsidR="000C0C74">
              <w:rPr>
                <w:rFonts w:asciiTheme="majorHAnsi" w:hAnsiTheme="majorHAnsi" w:cs="Arial"/>
                <w:sz w:val="16"/>
                <w:szCs w:val="16"/>
              </w:rPr>
              <w:t xml:space="preserve"> – Turkey</w:t>
            </w:r>
          </w:p>
        </w:tc>
        <w:tc>
          <w:tcPr>
            <w:tcW w:w="4620" w:type="dxa"/>
          </w:tcPr>
          <w:p w14:paraId="2F0E8B0E" w14:textId="581B867F" w:rsidR="00A50EC9" w:rsidRPr="00135E51" w:rsidRDefault="00A50EC9" w:rsidP="00CE30C1">
            <w:pPr>
              <w:rPr>
                <w:rFonts w:asciiTheme="majorHAnsi" w:hAnsiTheme="majorHAnsi" w:cs="Arial"/>
                <w:sz w:val="16"/>
                <w:szCs w:val="16"/>
              </w:rPr>
            </w:pPr>
            <w:r w:rsidRPr="00135E51">
              <w:rPr>
                <w:rFonts w:asciiTheme="majorHAnsi" w:hAnsiTheme="majorHAnsi" w:cs="Arial"/>
                <w:sz w:val="16"/>
                <w:szCs w:val="16"/>
              </w:rPr>
              <w:t>Bitcoin use in Turkey has been driven by inflation of the domestic currency.</w:t>
            </w:r>
          </w:p>
        </w:tc>
      </w:tr>
      <w:tr w:rsidR="00A50EC9" w14:paraId="21137E67" w14:textId="4154D4EF" w:rsidTr="00D50D8E">
        <w:trPr>
          <w:trHeight w:val="156"/>
        </w:trPr>
        <w:tc>
          <w:tcPr>
            <w:tcW w:w="1037" w:type="dxa"/>
            <w:vMerge/>
          </w:tcPr>
          <w:p w14:paraId="7B8C4EE7" w14:textId="77777777" w:rsidR="00A50EC9" w:rsidRPr="00135E51" w:rsidRDefault="00A50EC9" w:rsidP="00E203B8">
            <w:pPr>
              <w:rPr>
                <w:rFonts w:asciiTheme="majorHAnsi" w:hAnsiTheme="majorHAnsi" w:cs="Arial"/>
                <w:sz w:val="16"/>
                <w:szCs w:val="16"/>
              </w:rPr>
            </w:pPr>
          </w:p>
        </w:tc>
        <w:tc>
          <w:tcPr>
            <w:tcW w:w="1551" w:type="dxa"/>
            <w:vMerge w:val="restart"/>
          </w:tcPr>
          <w:p w14:paraId="50BBF804" w14:textId="5F553CC1" w:rsidR="00A50EC9" w:rsidRPr="00135E51" w:rsidRDefault="00A50EC9">
            <w:pPr>
              <w:rPr>
                <w:rFonts w:asciiTheme="majorHAnsi" w:hAnsiTheme="majorHAnsi" w:cs="Arial"/>
                <w:sz w:val="16"/>
                <w:szCs w:val="16"/>
              </w:rPr>
            </w:pPr>
            <w:r w:rsidRPr="00135E51">
              <w:rPr>
                <w:rFonts w:asciiTheme="majorHAnsi" w:hAnsiTheme="majorHAnsi" w:cs="Arial"/>
                <w:sz w:val="16"/>
                <w:szCs w:val="16"/>
              </w:rPr>
              <w:t>Mixed</w:t>
            </w:r>
          </w:p>
        </w:tc>
        <w:tc>
          <w:tcPr>
            <w:tcW w:w="1546" w:type="dxa"/>
          </w:tcPr>
          <w:p w14:paraId="6A7336D7" w14:textId="7F6BCDD4" w:rsidR="00A50EC9" w:rsidRPr="00135E51" w:rsidRDefault="00A50EC9">
            <w:pPr>
              <w:rPr>
                <w:rFonts w:asciiTheme="majorHAnsi" w:hAnsiTheme="majorHAnsi" w:cs="Arial"/>
                <w:sz w:val="16"/>
                <w:szCs w:val="16"/>
              </w:rPr>
            </w:pPr>
            <w:proofErr w:type="spellStart"/>
            <w:r w:rsidRPr="00135E51">
              <w:rPr>
                <w:rFonts w:asciiTheme="majorHAnsi" w:hAnsiTheme="majorHAnsi" w:cs="Arial"/>
                <w:sz w:val="16"/>
                <w:szCs w:val="16"/>
              </w:rPr>
              <w:t>Phochanachan</w:t>
            </w:r>
            <w:proofErr w:type="spellEnd"/>
            <w:r w:rsidRPr="00135E51">
              <w:rPr>
                <w:rFonts w:asciiTheme="majorHAnsi" w:hAnsiTheme="majorHAnsi" w:cs="Arial"/>
                <w:sz w:val="16"/>
                <w:szCs w:val="16"/>
              </w:rPr>
              <w:t xml:space="preserve"> et al. </w:t>
            </w:r>
            <w:r w:rsidRPr="00135E51">
              <w:rPr>
                <w:rFonts w:asciiTheme="majorHAnsi" w:hAnsiTheme="majorHAnsi" w:cs="Arial"/>
                <w:sz w:val="16"/>
                <w:szCs w:val="16"/>
              </w:rPr>
              <w:fldChar w:fldCharType="begin"/>
            </w:r>
            <w:r w:rsidRPr="00135E51">
              <w:rPr>
                <w:rFonts w:asciiTheme="majorHAnsi" w:hAnsiTheme="majorHAnsi" w:cs="Arial"/>
                <w:sz w:val="16"/>
                <w:szCs w:val="16"/>
              </w:rPr>
              <w:instrText xml:space="preserve"> ADDIN ZOTERO_ITEM CSL_CITATION {"citationID":"jOJ6DLaa","properties":{"formattedCitation":"(2022)","plainCitation":"(2022)","noteIndex":0},"citationItems":[{"id":88,"uris":["http://zotero.org/users/local/wQZpxwFo/items/QEI4WKCZ"],"itemData":{"id":88,"type":"article-journal","abstract":"This study analyzes whether Bitcoin, gold, oil, and stock have the ability to hedge against inﬂation in high cryptocurrency adoption countries in the periods from January 2010 to March 2021. It is hypothesized that the assets behave differently and thereby respond differently to inﬂation in different market conditions. Therefore, we employ the Markov Switching Vector Autoregressive to examine these assets’ hedging ability against inﬂation in both stable and turbulent market regimes. Our main ﬁndings are threefold: We show that there exists a structural change and nonlinear relationship between the returns of hedging assets and inﬂation. Second, all assets can hedge against inﬂation more effectively in the short run than in the long run. We ﬁnd that the inﬂation hedging ability of these assets are weak in the long run for both market regimes. We also ﬁnd some evidence that the rigidity between the assets and inﬂation is relatively high in the stable regime. Third, according to the impulse response analysis, we also ﬁnd that the responses of assets to inﬂation shock are heterogeneous across two market regimes.","container-title":"Axioms","DOI":"10.3390/axioms11070339","ISSN":"2075-1680","issue":"7","journalAbbreviation":"Axioms","language":"en","license":"https://creativecommons.org/licenses/by/4.0/","page":"339","source":"DOI.org (Crossref)","title":"Do Bitcoin and Traditional Financial Assets Act as an Inflation Hedge during Stable and Turbulent Markets? Evidence from High Cryptocurrency Adoption Countries","title-short":"Do Bitcoin and Traditional Financial Assets Act as an Inflation Hedge during Stable and Turbulent Markets?","volume":"11","author":[{"family":"Phochanachan","given":"Panisara"},{"family":"Pirabun","given":"Nootchanat"},{"family":"Leurcharusmee","given":"Supanika"},{"family":"Yamaka","given":"Woraphon"}],"issued":{"date-parts":[["2022",7,14]]},"citation-key":"phochanachanBitcoinTraditionalFinancial2022"},"label":"page","suppress-author":true}],"schema":"https://github.com/citation-style-language/schema/raw/master/csl-citation.json"} </w:instrText>
            </w:r>
            <w:r w:rsidRPr="00135E51">
              <w:rPr>
                <w:rFonts w:asciiTheme="majorHAnsi" w:hAnsiTheme="majorHAnsi" w:cs="Arial"/>
                <w:sz w:val="16"/>
                <w:szCs w:val="16"/>
              </w:rPr>
              <w:fldChar w:fldCharType="separate"/>
            </w:r>
            <w:r w:rsidRPr="00135E51">
              <w:rPr>
                <w:rFonts w:asciiTheme="majorHAnsi" w:hAnsiTheme="majorHAnsi" w:cs="Arial"/>
                <w:sz w:val="16"/>
              </w:rPr>
              <w:t>(2022)</w:t>
            </w:r>
            <w:r w:rsidRPr="00135E51">
              <w:rPr>
                <w:rFonts w:asciiTheme="majorHAnsi" w:hAnsiTheme="majorHAnsi" w:cs="Arial"/>
                <w:sz w:val="16"/>
                <w:szCs w:val="16"/>
              </w:rPr>
              <w:fldChar w:fldCharType="end"/>
            </w:r>
          </w:p>
        </w:tc>
        <w:tc>
          <w:tcPr>
            <w:tcW w:w="2161" w:type="dxa"/>
          </w:tcPr>
          <w:p w14:paraId="56269448" w14:textId="37657D90" w:rsidR="00A50EC9" w:rsidRPr="00135E51" w:rsidRDefault="00A50EC9">
            <w:pPr>
              <w:rPr>
                <w:rFonts w:asciiTheme="majorHAnsi" w:hAnsiTheme="majorHAnsi" w:cs="Arial"/>
                <w:sz w:val="16"/>
                <w:szCs w:val="16"/>
              </w:rPr>
            </w:pPr>
            <w:r w:rsidRPr="00135E51">
              <w:rPr>
                <w:rFonts w:asciiTheme="majorHAnsi" w:hAnsiTheme="majorHAnsi" w:cs="Arial"/>
                <w:sz w:val="16"/>
                <w:szCs w:val="16"/>
              </w:rPr>
              <w:t>Quantitative</w:t>
            </w:r>
            <w:r w:rsidR="000C0C74">
              <w:rPr>
                <w:rFonts w:asciiTheme="majorHAnsi" w:hAnsiTheme="majorHAnsi" w:cs="Arial"/>
                <w:sz w:val="16"/>
                <w:szCs w:val="16"/>
              </w:rPr>
              <w:t xml:space="preserve"> – Time Series</w:t>
            </w:r>
            <w:r w:rsidR="006C1A72">
              <w:rPr>
                <w:rFonts w:asciiTheme="majorHAnsi" w:hAnsiTheme="majorHAnsi" w:cs="Arial"/>
                <w:sz w:val="16"/>
                <w:szCs w:val="16"/>
              </w:rPr>
              <w:t xml:space="preserve"> – Markov </w:t>
            </w:r>
            <w:r w:rsidR="004F7C30">
              <w:rPr>
                <w:rFonts w:asciiTheme="majorHAnsi" w:hAnsiTheme="majorHAnsi" w:cs="Arial"/>
                <w:sz w:val="16"/>
                <w:szCs w:val="16"/>
              </w:rPr>
              <w:t xml:space="preserve">Switching </w:t>
            </w:r>
            <w:r w:rsidR="006C1A72">
              <w:rPr>
                <w:rFonts w:asciiTheme="majorHAnsi" w:hAnsiTheme="majorHAnsi" w:cs="Arial"/>
                <w:sz w:val="16"/>
                <w:szCs w:val="16"/>
              </w:rPr>
              <w:t>Vector Autoregression</w:t>
            </w:r>
            <w:r w:rsidR="004F7C30">
              <w:rPr>
                <w:rFonts w:asciiTheme="majorHAnsi" w:hAnsiTheme="majorHAnsi" w:cs="Arial"/>
                <w:sz w:val="16"/>
                <w:szCs w:val="16"/>
              </w:rPr>
              <w:t>.</w:t>
            </w:r>
          </w:p>
        </w:tc>
        <w:tc>
          <w:tcPr>
            <w:tcW w:w="4620" w:type="dxa"/>
          </w:tcPr>
          <w:p w14:paraId="6E79A478" w14:textId="777FF613" w:rsidR="00A50EC9" w:rsidRPr="00135E51" w:rsidRDefault="00A50EC9">
            <w:pPr>
              <w:rPr>
                <w:rFonts w:asciiTheme="majorHAnsi" w:hAnsiTheme="majorHAnsi" w:cs="Arial"/>
                <w:sz w:val="16"/>
                <w:szCs w:val="16"/>
              </w:rPr>
            </w:pPr>
            <w:r w:rsidRPr="00135E51">
              <w:rPr>
                <w:rFonts w:asciiTheme="majorHAnsi" w:hAnsiTheme="majorHAnsi" w:cs="Arial"/>
                <w:sz w:val="16"/>
                <w:szCs w:val="16"/>
              </w:rPr>
              <w:t>Bitcoin can positively correlate to inflation, in the short term.</w:t>
            </w:r>
            <w:r w:rsidR="00AB552F">
              <w:rPr>
                <w:rFonts w:asciiTheme="majorHAnsi" w:hAnsiTheme="majorHAnsi" w:cs="Arial"/>
                <w:sz w:val="16"/>
                <w:szCs w:val="16"/>
              </w:rPr>
              <w:t xml:space="preserve"> The study focused on high cryptocurrency adoption countries only.</w:t>
            </w:r>
          </w:p>
        </w:tc>
      </w:tr>
      <w:tr w:rsidR="00A50EC9" w14:paraId="0A8F8823" w14:textId="77777777" w:rsidTr="00D50D8E">
        <w:trPr>
          <w:trHeight w:val="156"/>
        </w:trPr>
        <w:tc>
          <w:tcPr>
            <w:tcW w:w="1037" w:type="dxa"/>
            <w:vMerge/>
          </w:tcPr>
          <w:p w14:paraId="0B271CDE" w14:textId="77777777" w:rsidR="00A50EC9" w:rsidRPr="00135E51" w:rsidRDefault="00A50EC9" w:rsidP="00E203B8">
            <w:pPr>
              <w:rPr>
                <w:rFonts w:asciiTheme="majorHAnsi" w:hAnsiTheme="majorHAnsi" w:cs="Arial"/>
                <w:sz w:val="16"/>
                <w:szCs w:val="16"/>
              </w:rPr>
            </w:pPr>
          </w:p>
        </w:tc>
        <w:tc>
          <w:tcPr>
            <w:tcW w:w="1551" w:type="dxa"/>
            <w:vMerge/>
          </w:tcPr>
          <w:p w14:paraId="768B1D4D" w14:textId="77777777" w:rsidR="00A50EC9" w:rsidRPr="00135E51" w:rsidRDefault="00A50EC9" w:rsidP="00A50EC9">
            <w:pPr>
              <w:rPr>
                <w:rFonts w:asciiTheme="majorHAnsi" w:hAnsiTheme="majorHAnsi" w:cs="Arial"/>
                <w:sz w:val="16"/>
                <w:szCs w:val="16"/>
              </w:rPr>
            </w:pPr>
          </w:p>
        </w:tc>
        <w:tc>
          <w:tcPr>
            <w:tcW w:w="1546" w:type="dxa"/>
          </w:tcPr>
          <w:p w14:paraId="51F01D11" w14:textId="1C50E2FE" w:rsidR="00A50EC9" w:rsidRPr="00135E51" w:rsidRDefault="00A50EC9" w:rsidP="00A50EC9">
            <w:pPr>
              <w:rPr>
                <w:rFonts w:asciiTheme="majorHAnsi" w:hAnsiTheme="majorHAnsi" w:cs="Arial"/>
                <w:sz w:val="16"/>
                <w:szCs w:val="16"/>
              </w:rPr>
            </w:pPr>
            <w:proofErr w:type="spellStart"/>
            <w:r w:rsidRPr="00135E51">
              <w:rPr>
                <w:rFonts w:asciiTheme="majorHAnsi" w:hAnsiTheme="majorHAnsi" w:cs="Arial"/>
                <w:sz w:val="16"/>
                <w:szCs w:val="16"/>
              </w:rPr>
              <w:t>Gaies</w:t>
            </w:r>
            <w:proofErr w:type="spellEnd"/>
            <w:r w:rsidRPr="00135E51">
              <w:rPr>
                <w:rFonts w:asciiTheme="majorHAnsi" w:hAnsiTheme="majorHAnsi" w:cs="Arial"/>
                <w:sz w:val="16"/>
                <w:szCs w:val="16"/>
              </w:rPr>
              <w:t xml:space="preserve"> et al. </w:t>
            </w:r>
            <w:r w:rsidRPr="00135E51">
              <w:rPr>
                <w:rFonts w:asciiTheme="majorHAnsi" w:hAnsiTheme="majorHAnsi" w:cs="Arial"/>
                <w:sz w:val="16"/>
                <w:szCs w:val="16"/>
              </w:rPr>
              <w:fldChar w:fldCharType="begin"/>
            </w:r>
            <w:r w:rsidRPr="00135E51">
              <w:rPr>
                <w:rFonts w:asciiTheme="majorHAnsi" w:hAnsiTheme="majorHAnsi" w:cs="Arial"/>
                <w:sz w:val="16"/>
                <w:szCs w:val="16"/>
              </w:rPr>
              <w:instrText xml:space="preserve"> ADDIN ZOTERO_ITEM CSL_CITATION {"citationID":"jOXVNtFT","properties":{"formattedCitation":"(2024)","plainCitation":"(2024)","noteIndex":0},"citationItems":[{"id":84,"uris":["http://zotero.org/users/local/wQZpxwFo/items/SRFKK2YR"],"itemData":{"id":84,"type":"article-journal","abstract":"This study examines the resilience of Bitcoin and Ethereum to inflation and financial instability amidst major economic and political disruptions, including the U.S.-China trade war, the COVID19 pandemic, the Ukrainian conflict, the collapse of Silicon Valley Bank, and the ensuing energy crisis. We employ wavelet coherence analysis and the quantile coherence method to unravel the complex relationship between these cryptocurrency prices, the 5-year breakeven inflation rate, and the U.S. Financial Stress Index (FSI), utilizing daily data from April 16, 2018, to April 14, 2023. Our results reveal that during turbulent times, investors adjust their Bitcoin holdings in response to inflation expectations, driving up Bitcoin prices in both the short and long term. However, Bitcoin’s effectiveness as an inflation hedge diminishes in bearish market conditions, and it proves unreliable as a hedge against financial instability. The relationship between Ethereum and inflation expectations is found to be more context-dependent. Also, while Ether­ eum’s vulnerability to financial instability is less persistent in the long run, it increases in bearish markets.","container-title":"Research in International Business and Finance","DOI":"10.1016/j.ribaf.2024.102302","ISSN":"02755319","journalAbbreviation":"Research in International Business and Finance","language":"en","page":"102302","source":"DOI.org (Crossref)","title":"On the resilience of cryptocurrencies: A quantile-frequency analysis of bitcoin and ethereum reactions in times of inflation and financial instability","title-short":"On the resilience of cryptocurrencies","volume":"70","author":[{"family":"Gaies","given":"Brahim"},{"family":"Chaâbane","given":"Najeh"},{"family":"Arfaoui","given":"Nadia"},{"family":"Sahut","given":"Jean-Michel"}],"issued":{"date-parts":[["2024",6]]},"citation-key":"gaiesResilienceCryptocurrenciesQuantilefrequency2024"},"label":"page","suppress-author":true}],"schema":"https://github.com/citation-style-language/schema/raw/master/csl-citation.json"} </w:instrText>
            </w:r>
            <w:r w:rsidRPr="00135E51">
              <w:rPr>
                <w:rFonts w:asciiTheme="majorHAnsi" w:hAnsiTheme="majorHAnsi" w:cs="Arial"/>
                <w:sz w:val="16"/>
                <w:szCs w:val="16"/>
              </w:rPr>
              <w:fldChar w:fldCharType="separate"/>
            </w:r>
            <w:r w:rsidRPr="00135E51">
              <w:rPr>
                <w:rFonts w:asciiTheme="majorHAnsi" w:hAnsiTheme="majorHAnsi" w:cs="Arial"/>
                <w:sz w:val="16"/>
              </w:rPr>
              <w:t>(2024)</w:t>
            </w:r>
            <w:r w:rsidRPr="00135E51">
              <w:rPr>
                <w:rFonts w:asciiTheme="majorHAnsi" w:hAnsiTheme="majorHAnsi" w:cs="Arial"/>
                <w:sz w:val="16"/>
                <w:szCs w:val="16"/>
              </w:rPr>
              <w:fldChar w:fldCharType="end"/>
            </w:r>
          </w:p>
        </w:tc>
        <w:tc>
          <w:tcPr>
            <w:tcW w:w="2161" w:type="dxa"/>
          </w:tcPr>
          <w:p w14:paraId="0397E607" w14:textId="13FDD591"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Quantitative</w:t>
            </w:r>
            <w:r w:rsidR="000C0C74">
              <w:rPr>
                <w:rFonts w:asciiTheme="majorHAnsi" w:hAnsiTheme="majorHAnsi" w:cs="Arial"/>
                <w:sz w:val="16"/>
                <w:szCs w:val="16"/>
              </w:rPr>
              <w:t xml:space="preserve"> – Time Series</w:t>
            </w:r>
          </w:p>
        </w:tc>
        <w:tc>
          <w:tcPr>
            <w:tcW w:w="4620" w:type="dxa"/>
          </w:tcPr>
          <w:p w14:paraId="75604DA4" w14:textId="167799F5"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Bitcoin prices increase in response to inflation, under conditions of uncertainty.</w:t>
            </w:r>
          </w:p>
        </w:tc>
      </w:tr>
      <w:tr w:rsidR="00A50EC9" w14:paraId="43EBB1FD" w14:textId="77777777" w:rsidTr="00D50D8E">
        <w:trPr>
          <w:trHeight w:val="156"/>
        </w:trPr>
        <w:tc>
          <w:tcPr>
            <w:tcW w:w="1037" w:type="dxa"/>
            <w:vMerge/>
          </w:tcPr>
          <w:p w14:paraId="7BED16C5" w14:textId="77777777" w:rsidR="00A50EC9" w:rsidRPr="00135E51" w:rsidRDefault="00A50EC9" w:rsidP="00E203B8">
            <w:pPr>
              <w:rPr>
                <w:rFonts w:asciiTheme="majorHAnsi" w:hAnsiTheme="majorHAnsi" w:cs="Arial"/>
                <w:sz w:val="16"/>
                <w:szCs w:val="16"/>
              </w:rPr>
            </w:pPr>
          </w:p>
        </w:tc>
        <w:tc>
          <w:tcPr>
            <w:tcW w:w="1551" w:type="dxa"/>
            <w:vMerge/>
          </w:tcPr>
          <w:p w14:paraId="518F8AE3" w14:textId="77777777" w:rsidR="00A50EC9" w:rsidRPr="00135E51" w:rsidRDefault="00A50EC9" w:rsidP="00A50EC9">
            <w:pPr>
              <w:rPr>
                <w:rFonts w:asciiTheme="majorHAnsi" w:hAnsiTheme="majorHAnsi" w:cs="Arial"/>
                <w:sz w:val="16"/>
                <w:szCs w:val="16"/>
              </w:rPr>
            </w:pPr>
          </w:p>
        </w:tc>
        <w:tc>
          <w:tcPr>
            <w:tcW w:w="1546" w:type="dxa"/>
          </w:tcPr>
          <w:p w14:paraId="0AD0021B" w14:textId="592404A4"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Smales (2024)</w:t>
            </w:r>
          </w:p>
        </w:tc>
        <w:tc>
          <w:tcPr>
            <w:tcW w:w="2161" w:type="dxa"/>
          </w:tcPr>
          <w:p w14:paraId="68ED7EE7" w14:textId="7D46D95E"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Quantitative</w:t>
            </w:r>
            <w:r w:rsidR="000C0C74">
              <w:rPr>
                <w:rFonts w:asciiTheme="majorHAnsi" w:hAnsiTheme="majorHAnsi" w:cs="Arial"/>
                <w:sz w:val="16"/>
                <w:szCs w:val="16"/>
              </w:rPr>
              <w:t xml:space="preserve"> – Time Series</w:t>
            </w:r>
          </w:p>
        </w:tc>
        <w:tc>
          <w:tcPr>
            <w:tcW w:w="4620" w:type="dxa"/>
          </w:tcPr>
          <w:p w14:paraId="7A2A4D7D" w14:textId="19129588"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Above 2% inflation expectation sees no co-movement with Bitcoin.</w:t>
            </w:r>
          </w:p>
        </w:tc>
      </w:tr>
      <w:tr w:rsidR="00A50EC9" w14:paraId="153F5A37" w14:textId="4BA79305" w:rsidTr="00D50D8E">
        <w:trPr>
          <w:trHeight w:val="858"/>
        </w:trPr>
        <w:tc>
          <w:tcPr>
            <w:tcW w:w="1037" w:type="dxa"/>
            <w:vMerge/>
          </w:tcPr>
          <w:p w14:paraId="03E4ECA5" w14:textId="77777777" w:rsidR="00A50EC9" w:rsidRPr="00135E51" w:rsidRDefault="00A50EC9" w:rsidP="00E203B8">
            <w:pPr>
              <w:rPr>
                <w:rFonts w:asciiTheme="majorHAnsi" w:hAnsiTheme="majorHAnsi" w:cs="Arial"/>
                <w:sz w:val="16"/>
                <w:szCs w:val="16"/>
              </w:rPr>
            </w:pPr>
          </w:p>
        </w:tc>
        <w:tc>
          <w:tcPr>
            <w:tcW w:w="1551" w:type="dxa"/>
            <w:vMerge w:val="restart"/>
          </w:tcPr>
          <w:p w14:paraId="00572467" w14:textId="6254E9A7"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 xml:space="preserve">Inflation negatively </w:t>
            </w:r>
            <w:r w:rsidR="00E203B8" w:rsidRPr="00135E51">
              <w:rPr>
                <w:rFonts w:asciiTheme="majorHAnsi" w:hAnsiTheme="majorHAnsi" w:cs="Arial"/>
                <w:sz w:val="16"/>
                <w:szCs w:val="16"/>
              </w:rPr>
              <w:t>a</w:t>
            </w:r>
            <w:r w:rsidRPr="00135E51">
              <w:rPr>
                <w:rFonts w:asciiTheme="majorHAnsi" w:hAnsiTheme="majorHAnsi" w:cs="Arial"/>
                <w:sz w:val="16"/>
                <w:szCs w:val="16"/>
              </w:rPr>
              <w:t>ffects Bitcoin adoption</w:t>
            </w:r>
          </w:p>
        </w:tc>
        <w:tc>
          <w:tcPr>
            <w:tcW w:w="1546" w:type="dxa"/>
          </w:tcPr>
          <w:p w14:paraId="1D20F246" w14:textId="5A909691"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 xml:space="preserve">Basher &amp; </w:t>
            </w:r>
            <w:proofErr w:type="spellStart"/>
            <w:r w:rsidRPr="00135E51">
              <w:rPr>
                <w:rFonts w:asciiTheme="majorHAnsi" w:hAnsiTheme="majorHAnsi" w:cs="Arial"/>
                <w:sz w:val="16"/>
                <w:szCs w:val="16"/>
              </w:rPr>
              <w:t>Sadorsky</w:t>
            </w:r>
            <w:proofErr w:type="spellEnd"/>
            <w:r w:rsidRPr="00135E51">
              <w:rPr>
                <w:rFonts w:asciiTheme="majorHAnsi" w:hAnsiTheme="majorHAnsi" w:cs="Arial"/>
                <w:sz w:val="16"/>
                <w:szCs w:val="16"/>
              </w:rPr>
              <w:t xml:space="preserve"> (2022)</w:t>
            </w:r>
          </w:p>
        </w:tc>
        <w:tc>
          <w:tcPr>
            <w:tcW w:w="2161" w:type="dxa"/>
          </w:tcPr>
          <w:p w14:paraId="2A1C2836" w14:textId="3F2CAA28"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Quantitative</w:t>
            </w:r>
            <w:r w:rsidR="00F005A1">
              <w:rPr>
                <w:rFonts w:asciiTheme="majorHAnsi" w:hAnsiTheme="majorHAnsi" w:cs="Arial"/>
                <w:sz w:val="16"/>
                <w:szCs w:val="16"/>
              </w:rPr>
              <w:t xml:space="preserve"> – Time Series</w:t>
            </w:r>
          </w:p>
        </w:tc>
        <w:tc>
          <w:tcPr>
            <w:tcW w:w="4620" w:type="dxa"/>
          </w:tcPr>
          <w:p w14:paraId="76BFF15E" w14:textId="46A8B521"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Bitcoin is not a good hedge against inflation as there is no co-movement.</w:t>
            </w:r>
          </w:p>
        </w:tc>
      </w:tr>
      <w:tr w:rsidR="00A50EC9" w14:paraId="7CD913D7" w14:textId="77777777" w:rsidTr="00D50D8E">
        <w:trPr>
          <w:trHeight w:val="156"/>
        </w:trPr>
        <w:tc>
          <w:tcPr>
            <w:tcW w:w="1037" w:type="dxa"/>
            <w:vMerge/>
          </w:tcPr>
          <w:p w14:paraId="3D8C1FB9" w14:textId="77777777" w:rsidR="00A50EC9" w:rsidRPr="00135E51" w:rsidRDefault="00A50EC9" w:rsidP="00E203B8">
            <w:pPr>
              <w:rPr>
                <w:rFonts w:asciiTheme="majorHAnsi" w:hAnsiTheme="majorHAnsi" w:cs="Arial"/>
                <w:sz w:val="16"/>
                <w:szCs w:val="16"/>
              </w:rPr>
            </w:pPr>
          </w:p>
        </w:tc>
        <w:tc>
          <w:tcPr>
            <w:tcW w:w="1551" w:type="dxa"/>
            <w:vMerge/>
          </w:tcPr>
          <w:p w14:paraId="43A9E149" w14:textId="77777777" w:rsidR="00A50EC9" w:rsidRPr="00135E51" w:rsidRDefault="00A50EC9" w:rsidP="00A50EC9">
            <w:pPr>
              <w:rPr>
                <w:rFonts w:asciiTheme="majorHAnsi" w:hAnsiTheme="majorHAnsi" w:cs="Arial"/>
                <w:sz w:val="16"/>
                <w:szCs w:val="16"/>
              </w:rPr>
            </w:pPr>
          </w:p>
        </w:tc>
        <w:tc>
          <w:tcPr>
            <w:tcW w:w="1546" w:type="dxa"/>
          </w:tcPr>
          <w:p w14:paraId="673488A1" w14:textId="0420BD93" w:rsidR="00A50EC9" w:rsidRPr="00135E51" w:rsidRDefault="00A50EC9" w:rsidP="00A50EC9">
            <w:pPr>
              <w:rPr>
                <w:rFonts w:asciiTheme="majorHAnsi" w:hAnsiTheme="majorHAnsi" w:cs="Arial"/>
                <w:sz w:val="16"/>
                <w:szCs w:val="16"/>
              </w:rPr>
            </w:pPr>
            <w:proofErr w:type="spellStart"/>
            <w:r w:rsidRPr="00135E51">
              <w:rPr>
                <w:rFonts w:asciiTheme="majorHAnsi" w:hAnsiTheme="majorHAnsi" w:cs="Arial"/>
                <w:sz w:val="16"/>
                <w:szCs w:val="16"/>
              </w:rPr>
              <w:t>Parino</w:t>
            </w:r>
            <w:proofErr w:type="spellEnd"/>
            <w:r w:rsidRPr="00135E51">
              <w:rPr>
                <w:rFonts w:asciiTheme="majorHAnsi" w:hAnsiTheme="majorHAnsi" w:cs="Arial"/>
                <w:sz w:val="16"/>
                <w:szCs w:val="16"/>
              </w:rPr>
              <w:t xml:space="preserve"> et al. (2018)</w:t>
            </w:r>
          </w:p>
        </w:tc>
        <w:tc>
          <w:tcPr>
            <w:tcW w:w="2161" w:type="dxa"/>
          </w:tcPr>
          <w:p w14:paraId="656A83E5" w14:textId="342E307A"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Quantitative</w:t>
            </w:r>
            <w:r w:rsidR="00234FB6">
              <w:rPr>
                <w:rFonts w:asciiTheme="majorHAnsi" w:hAnsiTheme="majorHAnsi" w:cs="Arial"/>
                <w:sz w:val="16"/>
                <w:szCs w:val="16"/>
              </w:rPr>
              <w:t xml:space="preserve"> – Cross Country</w:t>
            </w:r>
          </w:p>
        </w:tc>
        <w:tc>
          <w:tcPr>
            <w:tcW w:w="4620" w:type="dxa"/>
          </w:tcPr>
          <w:p w14:paraId="4252C840" w14:textId="78B43AC2"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No correlation between inflation in countries and their Bitcoin adoption. Note, they were using data only before 2015.</w:t>
            </w:r>
          </w:p>
        </w:tc>
      </w:tr>
      <w:tr w:rsidR="00A50EC9" w14:paraId="31D90B60" w14:textId="77777777" w:rsidTr="00D50D8E">
        <w:trPr>
          <w:trHeight w:val="156"/>
        </w:trPr>
        <w:tc>
          <w:tcPr>
            <w:tcW w:w="1037" w:type="dxa"/>
            <w:vMerge/>
          </w:tcPr>
          <w:p w14:paraId="74AF6DF9" w14:textId="77777777" w:rsidR="00A50EC9" w:rsidRPr="00135E51" w:rsidRDefault="00A50EC9" w:rsidP="00E203B8">
            <w:pPr>
              <w:rPr>
                <w:rFonts w:asciiTheme="majorHAnsi" w:hAnsiTheme="majorHAnsi" w:cs="Arial"/>
                <w:sz w:val="16"/>
                <w:szCs w:val="16"/>
              </w:rPr>
            </w:pPr>
          </w:p>
        </w:tc>
        <w:tc>
          <w:tcPr>
            <w:tcW w:w="1551" w:type="dxa"/>
            <w:vMerge/>
          </w:tcPr>
          <w:p w14:paraId="091AE684" w14:textId="77777777" w:rsidR="00A50EC9" w:rsidRPr="00135E51" w:rsidRDefault="00A50EC9" w:rsidP="00A50EC9">
            <w:pPr>
              <w:rPr>
                <w:rFonts w:asciiTheme="majorHAnsi" w:hAnsiTheme="majorHAnsi" w:cs="Arial"/>
                <w:sz w:val="16"/>
                <w:szCs w:val="16"/>
              </w:rPr>
            </w:pPr>
          </w:p>
        </w:tc>
        <w:tc>
          <w:tcPr>
            <w:tcW w:w="1546" w:type="dxa"/>
          </w:tcPr>
          <w:p w14:paraId="680A0F92" w14:textId="634B644A"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Ricci (2020)</w:t>
            </w:r>
          </w:p>
        </w:tc>
        <w:tc>
          <w:tcPr>
            <w:tcW w:w="2161" w:type="dxa"/>
          </w:tcPr>
          <w:p w14:paraId="65044807" w14:textId="6962A7D1"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Quantitative</w:t>
            </w:r>
            <w:r w:rsidR="00234FB6">
              <w:rPr>
                <w:rFonts w:asciiTheme="majorHAnsi" w:hAnsiTheme="majorHAnsi" w:cs="Arial"/>
                <w:sz w:val="16"/>
                <w:szCs w:val="16"/>
              </w:rPr>
              <w:t xml:space="preserve"> – Cross Country</w:t>
            </w:r>
          </w:p>
        </w:tc>
        <w:tc>
          <w:tcPr>
            <w:tcW w:w="4620" w:type="dxa"/>
          </w:tcPr>
          <w:p w14:paraId="704C1546" w14:textId="2FD9BE70"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No correlation between inflation in countries and their Bitcoin adoption. Note, they were using only developed economies in their study.</w:t>
            </w:r>
          </w:p>
        </w:tc>
      </w:tr>
      <w:tr w:rsidR="00A50EC9" w14:paraId="4BED50B3" w14:textId="77777777" w:rsidTr="00D50D8E">
        <w:trPr>
          <w:trHeight w:val="416"/>
        </w:trPr>
        <w:tc>
          <w:tcPr>
            <w:tcW w:w="1037" w:type="dxa"/>
            <w:vMerge w:val="restart"/>
            <w:vAlign w:val="center"/>
          </w:tcPr>
          <w:p w14:paraId="784D9CFB" w14:textId="125D9D55" w:rsidR="00A50EC9" w:rsidRPr="00135E51" w:rsidRDefault="00A50EC9" w:rsidP="00E203B8">
            <w:pPr>
              <w:rPr>
                <w:rFonts w:asciiTheme="majorHAnsi" w:hAnsiTheme="majorHAnsi" w:cs="Arial"/>
                <w:sz w:val="16"/>
                <w:szCs w:val="16"/>
              </w:rPr>
            </w:pPr>
            <w:r w:rsidRPr="00135E51">
              <w:rPr>
                <w:rFonts w:asciiTheme="majorHAnsi" w:hAnsiTheme="majorHAnsi" w:cs="Arial"/>
                <w:sz w:val="16"/>
                <w:szCs w:val="16"/>
              </w:rPr>
              <w:t>Investment</w:t>
            </w:r>
          </w:p>
        </w:tc>
        <w:tc>
          <w:tcPr>
            <w:tcW w:w="1551" w:type="dxa"/>
            <w:vMerge w:val="restart"/>
          </w:tcPr>
          <w:p w14:paraId="548C4DCE" w14:textId="354D1C86"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Investment is a reason for using Bitcoin</w:t>
            </w:r>
          </w:p>
        </w:tc>
        <w:tc>
          <w:tcPr>
            <w:tcW w:w="1546" w:type="dxa"/>
          </w:tcPr>
          <w:p w14:paraId="2591C529" w14:textId="00554DE2" w:rsidR="00A50EC9" w:rsidRPr="00135E51" w:rsidRDefault="00A50EC9" w:rsidP="00A50EC9">
            <w:pPr>
              <w:rPr>
                <w:rFonts w:asciiTheme="majorHAnsi" w:hAnsiTheme="majorHAnsi" w:cs="Arial"/>
                <w:sz w:val="16"/>
                <w:szCs w:val="16"/>
              </w:rPr>
            </w:pPr>
            <w:proofErr w:type="spellStart"/>
            <w:r w:rsidRPr="00135E51">
              <w:rPr>
                <w:rFonts w:asciiTheme="majorHAnsi" w:hAnsiTheme="majorHAnsi" w:cs="Arial"/>
                <w:sz w:val="16"/>
                <w:szCs w:val="16"/>
              </w:rPr>
              <w:t>Voskobojnikov</w:t>
            </w:r>
            <w:proofErr w:type="spellEnd"/>
            <w:r w:rsidRPr="00135E51">
              <w:rPr>
                <w:rFonts w:asciiTheme="majorHAnsi" w:hAnsiTheme="majorHAnsi" w:cs="Arial"/>
                <w:sz w:val="16"/>
                <w:szCs w:val="16"/>
              </w:rPr>
              <w:t xml:space="preserve"> et al. (2020)</w:t>
            </w:r>
          </w:p>
        </w:tc>
        <w:tc>
          <w:tcPr>
            <w:tcW w:w="2161" w:type="dxa"/>
          </w:tcPr>
          <w:p w14:paraId="644569E5" w14:textId="6EE9405E"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Interviews</w:t>
            </w:r>
          </w:p>
        </w:tc>
        <w:tc>
          <w:tcPr>
            <w:tcW w:w="4620" w:type="dxa"/>
          </w:tcPr>
          <w:p w14:paraId="55FC5247" w14:textId="093F067A"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Investment is the primary intended use of non-users of cryptocurrency.</w:t>
            </w:r>
          </w:p>
        </w:tc>
      </w:tr>
      <w:tr w:rsidR="00A50EC9" w14:paraId="0D3F51C4" w14:textId="77777777" w:rsidTr="00D50D8E">
        <w:trPr>
          <w:trHeight w:val="156"/>
        </w:trPr>
        <w:tc>
          <w:tcPr>
            <w:tcW w:w="1037" w:type="dxa"/>
            <w:vMerge/>
            <w:vAlign w:val="center"/>
          </w:tcPr>
          <w:p w14:paraId="5C2B79C1" w14:textId="77777777" w:rsidR="00A50EC9" w:rsidRPr="00135E51" w:rsidRDefault="00A50EC9" w:rsidP="00E203B8">
            <w:pPr>
              <w:rPr>
                <w:rFonts w:asciiTheme="majorHAnsi" w:hAnsiTheme="majorHAnsi" w:cs="Arial"/>
                <w:sz w:val="16"/>
                <w:szCs w:val="16"/>
              </w:rPr>
            </w:pPr>
          </w:p>
        </w:tc>
        <w:tc>
          <w:tcPr>
            <w:tcW w:w="1551" w:type="dxa"/>
            <w:vMerge/>
          </w:tcPr>
          <w:p w14:paraId="0AEAC78B" w14:textId="77777777" w:rsidR="00A50EC9" w:rsidRPr="00135E51" w:rsidRDefault="00A50EC9" w:rsidP="00A50EC9">
            <w:pPr>
              <w:rPr>
                <w:rFonts w:asciiTheme="majorHAnsi" w:hAnsiTheme="majorHAnsi" w:cs="Arial"/>
                <w:sz w:val="16"/>
                <w:szCs w:val="16"/>
              </w:rPr>
            </w:pPr>
          </w:p>
        </w:tc>
        <w:tc>
          <w:tcPr>
            <w:tcW w:w="1546" w:type="dxa"/>
          </w:tcPr>
          <w:p w14:paraId="6BF5DE95" w14:textId="0B91A092"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Glaser et al. (2014)</w:t>
            </w:r>
          </w:p>
        </w:tc>
        <w:tc>
          <w:tcPr>
            <w:tcW w:w="2161" w:type="dxa"/>
          </w:tcPr>
          <w:p w14:paraId="5268F815" w14:textId="7D0DA29E" w:rsidR="00A50EC9" w:rsidRPr="00135E51" w:rsidRDefault="00234FB6" w:rsidP="00A50EC9">
            <w:pPr>
              <w:rPr>
                <w:rFonts w:asciiTheme="majorHAnsi" w:hAnsiTheme="majorHAnsi" w:cs="Arial"/>
                <w:sz w:val="16"/>
                <w:szCs w:val="16"/>
              </w:rPr>
            </w:pPr>
            <w:r>
              <w:rPr>
                <w:rFonts w:asciiTheme="majorHAnsi" w:hAnsiTheme="majorHAnsi" w:cs="Arial"/>
                <w:sz w:val="16"/>
                <w:szCs w:val="16"/>
              </w:rPr>
              <w:t>Account level quantitative analysis</w:t>
            </w:r>
          </w:p>
        </w:tc>
        <w:tc>
          <w:tcPr>
            <w:tcW w:w="4620" w:type="dxa"/>
          </w:tcPr>
          <w:p w14:paraId="20022482" w14:textId="57A36312" w:rsidR="00A50EC9" w:rsidRPr="00135E51" w:rsidRDefault="00A50EC9" w:rsidP="00A50EC9">
            <w:pPr>
              <w:rPr>
                <w:rFonts w:asciiTheme="majorHAnsi" w:hAnsiTheme="majorHAnsi" w:cs="Arial"/>
                <w:sz w:val="16"/>
                <w:szCs w:val="16"/>
              </w:rPr>
            </w:pPr>
            <w:r w:rsidRPr="00135E51">
              <w:rPr>
                <w:rFonts w:asciiTheme="majorHAnsi" w:hAnsiTheme="majorHAnsi" w:cs="Arial"/>
                <w:sz w:val="16"/>
                <w:szCs w:val="16"/>
              </w:rPr>
              <w:t>Users on a sampled exchange (Mt. Gox) shuffled funds mostly between themselves and not outside the exchange, indicating investment, not payment was the intended use.</w:t>
            </w:r>
          </w:p>
        </w:tc>
      </w:tr>
      <w:tr w:rsidR="00C23D59" w14:paraId="37C85AE0" w14:textId="77777777" w:rsidTr="00D50D8E">
        <w:trPr>
          <w:trHeight w:val="429"/>
        </w:trPr>
        <w:tc>
          <w:tcPr>
            <w:tcW w:w="1037" w:type="dxa"/>
            <w:vMerge w:val="restart"/>
            <w:vAlign w:val="center"/>
          </w:tcPr>
          <w:p w14:paraId="1801AADF" w14:textId="37477051" w:rsidR="00C23D59" w:rsidRPr="00135E51" w:rsidRDefault="00C23D59" w:rsidP="00E203B8">
            <w:pPr>
              <w:rPr>
                <w:rFonts w:asciiTheme="majorHAnsi" w:hAnsiTheme="majorHAnsi" w:cs="Arial"/>
                <w:sz w:val="16"/>
                <w:szCs w:val="16"/>
              </w:rPr>
            </w:pPr>
            <w:r w:rsidRPr="00135E51">
              <w:rPr>
                <w:rFonts w:asciiTheme="majorHAnsi" w:hAnsiTheme="majorHAnsi" w:cs="Arial"/>
                <w:sz w:val="16"/>
                <w:szCs w:val="16"/>
              </w:rPr>
              <w:t>Wealth</w:t>
            </w:r>
          </w:p>
        </w:tc>
        <w:tc>
          <w:tcPr>
            <w:tcW w:w="1551" w:type="dxa"/>
            <w:vMerge w:val="restart"/>
          </w:tcPr>
          <w:p w14:paraId="1304F7DE" w14:textId="45D35776" w:rsidR="00C23D59" w:rsidRPr="00135E51" w:rsidRDefault="00C23D59" w:rsidP="00A50EC9">
            <w:pPr>
              <w:rPr>
                <w:rFonts w:asciiTheme="majorHAnsi" w:hAnsiTheme="majorHAnsi" w:cs="Arial"/>
                <w:sz w:val="16"/>
                <w:szCs w:val="16"/>
              </w:rPr>
            </w:pPr>
            <w:r w:rsidRPr="00135E51">
              <w:rPr>
                <w:rFonts w:asciiTheme="majorHAnsi" w:hAnsiTheme="majorHAnsi" w:cs="Arial"/>
                <w:sz w:val="16"/>
                <w:szCs w:val="16"/>
              </w:rPr>
              <w:t>Wealth is positively correlated to Bitcoin adoption</w:t>
            </w:r>
          </w:p>
        </w:tc>
        <w:tc>
          <w:tcPr>
            <w:tcW w:w="1546" w:type="dxa"/>
          </w:tcPr>
          <w:p w14:paraId="40A5C4BC" w14:textId="596ECB05" w:rsidR="00C23D59" w:rsidRPr="00135E51" w:rsidRDefault="00C23D59" w:rsidP="00A50EC9">
            <w:pPr>
              <w:rPr>
                <w:rFonts w:asciiTheme="majorHAnsi" w:hAnsiTheme="majorHAnsi" w:cs="Arial"/>
                <w:sz w:val="16"/>
                <w:szCs w:val="16"/>
              </w:rPr>
            </w:pPr>
            <w:r w:rsidRPr="00135E51">
              <w:rPr>
                <w:rFonts w:asciiTheme="majorHAnsi" w:hAnsiTheme="majorHAnsi" w:cs="Arial"/>
                <w:sz w:val="16"/>
                <w:szCs w:val="16"/>
              </w:rPr>
              <w:t>Lammer et al. (2019)</w:t>
            </w:r>
          </w:p>
        </w:tc>
        <w:tc>
          <w:tcPr>
            <w:tcW w:w="2161" w:type="dxa"/>
          </w:tcPr>
          <w:p w14:paraId="327925E8" w14:textId="4602D439" w:rsidR="00C23D59" w:rsidRPr="00135E51" w:rsidRDefault="00C23D59" w:rsidP="00A50EC9">
            <w:pPr>
              <w:rPr>
                <w:rFonts w:asciiTheme="majorHAnsi" w:hAnsiTheme="majorHAnsi" w:cs="Arial"/>
                <w:sz w:val="16"/>
                <w:szCs w:val="16"/>
              </w:rPr>
            </w:pPr>
            <w:r>
              <w:rPr>
                <w:rFonts w:asciiTheme="majorHAnsi" w:hAnsiTheme="majorHAnsi" w:cs="Arial"/>
                <w:sz w:val="16"/>
                <w:szCs w:val="16"/>
              </w:rPr>
              <w:t>Account level quantitative analysis</w:t>
            </w:r>
          </w:p>
        </w:tc>
        <w:tc>
          <w:tcPr>
            <w:tcW w:w="4620" w:type="dxa"/>
          </w:tcPr>
          <w:p w14:paraId="6CB0054D" w14:textId="1A080125" w:rsidR="00C23D59" w:rsidRPr="00135E51" w:rsidRDefault="00C23D59" w:rsidP="00A50EC9">
            <w:pPr>
              <w:rPr>
                <w:rFonts w:asciiTheme="majorHAnsi" w:hAnsiTheme="majorHAnsi" w:cs="Arial"/>
                <w:sz w:val="16"/>
                <w:szCs w:val="16"/>
              </w:rPr>
            </w:pPr>
            <w:r w:rsidRPr="00135E51">
              <w:rPr>
                <w:rFonts w:asciiTheme="majorHAnsi" w:hAnsiTheme="majorHAnsi" w:cs="Arial"/>
                <w:sz w:val="16"/>
                <w:szCs w:val="16"/>
              </w:rPr>
              <w:t>Looking at a German bank’s accounts; wealthier individuals were more likely to buy Bitcoin.</w:t>
            </w:r>
          </w:p>
        </w:tc>
      </w:tr>
      <w:tr w:rsidR="00C23D59" w14:paraId="00169A89" w14:textId="77777777" w:rsidTr="00D50D8E">
        <w:trPr>
          <w:trHeight w:val="43"/>
        </w:trPr>
        <w:tc>
          <w:tcPr>
            <w:tcW w:w="1037" w:type="dxa"/>
            <w:vMerge/>
            <w:vAlign w:val="center"/>
          </w:tcPr>
          <w:p w14:paraId="7EECC1ED" w14:textId="77777777" w:rsidR="00C23D59" w:rsidRPr="00135E51" w:rsidRDefault="00C23D59" w:rsidP="00E203B8">
            <w:pPr>
              <w:rPr>
                <w:rFonts w:asciiTheme="majorHAnsi" w:hAnsiTheme="majorHAnsi" w:cs="Arial"/>
                <w:sz w:val="16"/>
                <w:szCs w:val="16"/>
              </w:rPr>
            </w:pPr>
          </w:p>
        </w:tc>
        <w:tc>
          <w:tcPr>
            <w:tcW w:w="1551" w:type="dxa"/>
            <w:vMerge/>
          </w:tcPr>
          <w:p w14:paraId="5BD897B5" w14:textId="77777777" w:rsidR="00C23D59" w:rsidRPr="00135E51" w:rsidRDefault="00C23D59" w:rsidP="00A50EC9">
            <w:pPr>
              <w:rPr>
                <w:rFonts w:asciiTheme="majorHAnsi" w:hAnsiTheme="majorHAnsi" w:cs="Arial"/>
                <w:sz w:val="16"/>
                <w:szCs w:val="16"/>
              </w:rPr>
            </w:pPr>
          </w:p>
        </w:tc>
        <w:tc>
          <w:tcPr>
            <w:tcW w:w="1546" w:type="dxa"/>
          </w:tcPr>
          <w:p w14:paraId="1F40E947" w14:textId="750970BE" w:rsidR="00C23D59" w:rsidRPr="00135E51" w:rsidRDefault="00C23D59" w:rsidP="00A50EC9">
            <w:pPr>
              <w:rPr>
                <w:rFonts w:asciiTheme="majorHAnsi" w:hAnsiTheme="majorHAnsi" w:cs="Arial"/>
                <w:sz w:val="16"/>
                <w:szCs w:val="16"/>
              </w:rPr>
            </w:pPr>
            <w:proofErr w:type="spellStart"/>
            <w:r w:rsidRPr="00135E51">
              <w:rPr>
                <w:rFonts w:asciiTheme="majorHAnsi" w:hAnsiTheme="majorHAnsi" w:cs="Arial"/>
                <w:sz w:val="16"/>
                <w:szCs w:val="16"/>
              </w:rPr>
              <w:t>Parino</w:t>
            </w:r>
            <w:proofErr w:type="spellEnd"/>
            <w:r w:rsidRPr="00135E51">
              <w:rPr>
                <w:rFonts w:asciiTheme="majorHAnsi" w:hAnsiTheme="majorHAnsi" w:cs="Arial"/>
                <w:sz w:val="16"/>
                <w:szCs w:val="16"/>
              </w:rPr>
              <w:t xml:space="preserve"> et al. (2018)</w:t>
            </w:r>
          </w:p>
        </w:tc>
        <w:tc>
          <w:tcPr>
            <w:tcW w:w="2161" w:type="dxa"/>
          </w:tcPr>
          <w:p w14:paraId="1841F933" w14:textId="0618C0D9" w:rsidR="00C23D59" w:rsidRPr="00135E51" w:rsidRDefault="00C23D59" w:rsidP="00A50EC9">
            <w:pPr>
              <w:rPr>
                <w:rFonts w:asciiTheme="majorHAnsi" w:hAnsiTheme="majorHAnsi" w:cs="Arial"/>
                <w:sz w:val="16"/>
                <w:szCs w:val="16"/>
              </w:rPr>
            </w:pPr>
            <w:r w:rsidRPr="00135E51">
              <w:rPr>
                <w:rFonts w:asciiTheme="majorHAnsi" w:hAnsiTheme="majorHAnsi" w:cs="Arial"/>
                <w:sz w:val="16"/>
                <w:szCs w:val="16"/>
              </w:rPr>
              <w:t>Quantitative</w:t>
            </w:r>
            <w:r>
              <w:rPr>
                <w:rFonts w:asciiTheme="majorHAnsi" w:hAnsiTheme="majorHAnsi" w:cs="Arial"/>
                <w:sz w:val="16"/>
                <w:szCs w:val="16"/>
              </w:rPr>
              <w:t xml:space="preserve"> -Cross Country</w:t>
            </w:r>
          </w:p>
        </w:tc>
        <w:tc>
          <w:tcPr>
            <w:tcW w:w="4620" w:type="dxa"/>
          </w:tcPr>
          <w:p w14:paraId="3601DA0B" w14:textId="20DDB76D" w:rsidR="00C23D59" w:rsidRPr="00135E51" w:rsidRDefault="00C23D59" w:rsidP="00A50EC9">
            <w:pPr>
              <w:rPr>
                <w:rFonts w:asciiTheme="majorHAnsi" w:hAnsiTheme="majorHAnsi" w:cs="Arial"/>
                <w:sz w:val="16"/>
                <w:szCs w:val="16"/>
              </w:rPr>
            </w:pPr>
            <w:r w:rsidRPr="00135E51">
              <w:rPr>
                <w:rFonts w:asciiTheme="majorHAnsi" w:hAnsiTheme="majorHAnsi" w:cs="Arial"/>
                <w:sz w:val="16"/>
                <w:szCs w:val="16"/>
              </w:rPr>
              <w:t>GDP per Capita correlated positively with Bitcoin adoption.</w:t>
            </w:r>
          </w:p>
        </w:tc>
      </w:tr>
      <w:tr w:rsidR="00C23D59" w14:paraId="4F501D6F" w14:textId="77777777" w:rsidTr="00D50D8E">
        <w:trPr>
          <w:trHeight w:val="156"/>
        </w:trPr>
        <w:tc>
          <w:tcPr>
            <w:tcW w:w="1037" w:type="dxa"/>
            <w:vMerge/>
            <w:vAlign w:val="center"/>
          </w:tcPr>
          <w:p w14:paraId="3E268B47" w14:textId="77777777" w:rsidR="00C23D59" w:rsidRPr="00135E51" w:rsidRDefault="00C23D59" w:rsidP="00E203B8">
            <w:pPr>
              <w:rPr>
                <w:rFonts w:asciiTheme="majorHAnsi" w:hAnsiTheme="majorHAnsi" w:cs="Arial"/>
                <w:sz w:val="16"/>
                <w:szCs w:val="16"/>
              </w:rPr>
            </w:pPr>
          </w:p>
        </w:tc>
        <w:tc>
          <w:tcPr>
            <w:tcW w:w="1551" w:type="dxa"/>
            <w:vMerge/>
          </w:tcPr>
          <w:p w14:paraId="67B9E8A0" w14:textId="77777777" w:rsidR="00C23D59" w:rsidRPr="00135E51" w:rsidRDefault="00C23D59" w:rsidP="00A50EC9">
            <w:pPr>
              <w:rPr>
                <w:rFonts w:asciiTheme="majorHAnsi" w:hAnsiTheme="majorHAnsi" w:cs="Arial"/>
                <w:sz w:val="16"/>
                <w:szCs w:val="16"/>
              </w:rPr>
            </w:pPr>
          </w:p>
        </w:tc>
        <w:tc>
          <w:tcPr>
            <w:tcW w:w="1546" w:type="dxa"/>
          </w:tcPr>
          <w:p w14:paraId="621E270D" w14:textId="46048A1F" w:rsidR="00C23D59" w:rsidRPr="00135E51" w:rsidRDefault="00C23D59" w:rsidP="00A50EC9">
            <w:pPr>
              <w:rPr>
                <w:rFonts w:asciiTheme="majorHAnsi" w:hAnsiTheme="majorHAnsi" w:cs="Arial"/>
                <w:sz w:val="16"/>
                <w:szCs w:val="16"/>
              </w:rPr>
            </w:pPr>
            <w:r>
              <w:rPr>
                <w:rFonts w:asciiTheme="majorHAnsi" w:hAnsiTheme="majorHAnsi" w:cs="Arial"/>
                <w:sz w:val="16"/>
                <w:szCs w:val="16"/>
              </w:rPr>
              <w:t>Gemini (2021)</w:t>
            </w:r>
          </w:p>
        </w:tc>
        <w:tc>
          <w:tcPr>
            <w:tcW w:w="2161" w:type="dxa"/>
          </w:tcPr>
          <w:p w14:paraId="39CD1143" w14:textId="32CE378F" w:rsidR="00C23D59" w:rsidRPr="00135E51" w:rsidRDefault="00896669" w:rsidP="00A50EC9">
            <w:pPr>
              <w:rPr>
                <w:rFonts w:asciiTheme="majorHAnsi" w:hAnsiTheme="majorHAnsi" w:cs="Arial"/>
                <w:sz w:val="16"/>
                <w:szCs w:val="16"/>
              </w:rPr>
            </w:pPr>
            <w:r>
              <w:rPr>
                <w:rFonts w:asciiTheme="majorHAnsi" w:hAnsiTheme="majorHAnsi" w:cs="Arial"/>
                <w:sz w:val="16"/>
                <w:szCs w:val="16"/>
              </w:rPr>
              <w:t>Non-representative survey US</w:t>
            </w:r>
          </w:p>
        </w:tc>
        <w:tc>
          <w:tcPr>
            <w:tcW w:w="4620" w:type="dxa"/>
          </w:tcPr>
          <w:p w14:paraId="0B1C14A1" w14:textId="7597FC61" w:rsidR="00C23D59" w:rsidRPr="00135E51" w:rsidRDefault="00896669" w:rsidP="00A50EC9">
            <w:pPr>
              <w:rPr>
                <w:rFonts w:asciiTheme="majorHAnsi" w:hAnsiTheme="majorHAnsi" w:cs="Arial"/>
                <w:sz w:val="16"/>
                <w:szCs w:val="16"/>
              </w:rPr>
            </w:pPr>
            <w:r>
              <w:rPr>
                <w:rFonts w:asciiTheme="majorHAnsi" w:hAnsiTheme="majorHAnsi" w:cs="Arial"/>
                <w:sz w:val="16"/>
                <w:szCs w:val="16"/>
              </w:rPr>
              <w:t>Average crypto</w:t>
            </w:r>
            <w:r w:rsidR="00C96753">
              <w:rPr>
                <w:rFonts w:asciiTheme="majorHAnsi" w:hAnsiTheme="majorHAnsi" w:cs="Arial"/>
                <w:sz w:val="16"/>
                <w:szCs w:val="16"/>
              </w:rPr>
              <w:t>currency</w:t>
            </w:r>
            <w:r>
              <w:rPr>
                <w:rFonts w:asciiTheme="majorHAnsi" w:hAnsiTheme="majorHAnsi" w:cs="Arial"/>
                <w:sz w:val="16"/>
                <w:szCs w:val="16"/>
              </w:rPr>
              <w:t xml:space="preserve"> holding respondent has a household income </w:t>
            </w:r>
            <w:r w:rsidR="002C4160">
              <w:rPr>
                <w:rFonts w:asciiTheme="majorHAnsi" w:hAnsiTheme="majorHAnsi" w:cs="Arial"/>
                <w:sz w:val="16"/>
                <w:szCs w:val="16"/>
              </w:rPr>
              <w:t>approximately 1.5 times</w:t>
            </w:r>
            <w:r>
              <w:rPr>
                <w:rFonts w:asciiTheme="majorHAnsi" w:hAnsiTheme="majorHAnsi" w:cs="Arial"/>
                <w:sz w:val="16"/>
                <w:szCs w:val="16"/>
              </w:rPr>
              <w:t xml:space="preserve"> the national average</w:t>
            </w:r>
          </w:p>
        </w:tc>
      </w:tr>
      <w:tr w:rsidR="00C96753" w14:paraId="1BD964BC" w14:textId="77777777" w:rsidTr="00D50D8E">
        <w:trPr>
          <w:trHeight w:val="637"/>
        </w:trPr>
        <w:tc>
          <w:tcPr>
            <w:tcW w:w="1037" w:type="dxa"/>
            <w:vMerge w:val="restart"/>
            <w:vAlign w:val="center"/>
          </w:tcPr>
          <w:p w14:paraId="1F811BE3" w14:textId="4E082C1E" w:rsidR="00C96753" w:rsidRPr="00135E51" w:rsidRDefault="00C96753" w:rsidP="00E203B8">
            <w:pPr>
              <w:rPr>
                <w:rFonts w:asciiTheme="majorHAnsi" w:hAnsiTheme="majorHAnsi" w:cs="Arial"/>
                <w:sz w:val="16"/>
                <w:szCs w:val="16"/>
              </w:rPr>
            </w:pPr>
            <w:r w:rsidRPr="00135E51">
              <w:rPr>
                <w:rFonts w:asciiTheme="majorHAnsi" w:hAnsiTheme="majorHAnsi" w:cs="Arial"/>
                <w:sz w:val="16"/>
                <w:szCs w:val="16"/>
              </w:rPr>
              <w:t>Sins</w:t>
            </w:r>
          </w:p>
        </w:tc>
        <w:tc>
          <w:tcPr>
            <w:tcW w:w="1551" w:type="dxa"/>
            <w:vMerge w:val="restart"/>
          </w:tcPr>
          <w:p w14:paraId="37178FEF" w14:textId="33B57092" w:rsidR="00C96753" w:rsidRPr="00135E51" w:rsidRDefault="00C96753" w:rsidP="00A50EC9">
            <w:pPr>
              <w:rPr>
                <w:rFonts w:asciiTheme="majorHAnsi" w:hAnsiTheme="majorHAnsi" w:cs="Arial"/>
                <w:sz w:val="16"/>
                <w:szCs w:val="16"/>
              </w:rPr>
            </w:pPr>
            <w:r w:rsidRPr="00135E51">
              <w:rPr>
                <w:rFonts w:asciiTheme="majorHAnsi" w:hAnsiTheme="majorHAnsi" w:cs="Arial"/>
                <w:sz w:val="16"/>
                <w:szCs w:val="16"/>
              </w:rPr>
              <w:t>Payment for Illicit goods is a reason for using Bitcoin</w:t>
            </w:r>
          </w:p>
        </w:tc>
        <w:tc>
          <w:tcPr>
            <w:tcW w:w="1546" w:type="dxa"/>
          </w:tcPr>
          <w:p w14:paraId="1DF98DB5" w14:textId="23152368" w:rsidR="00C96753" w:rsidRPr="0071574C" w:rsidRDefault="00C96753" w:rsidP="00A50EC9">
            <w:pPr>
              <w:rPr>
                <w:rFonts w:asciiTheme="majorHAnsi" w:hAnsiTheme="majorHAnsi" w:cs="Arial"/>
                <w:sz w:val="16"/>
                <w:szCs w:val="16"/>
              </w:rPr>
            </w:pPr>
            <w:r w:rsidRPr="0071574C">
              <w:rPr>
                <w:rFonts w:asciiTheme="majorHAnsi" w:hAnsiTheme="majorHAnsi" w:cs="Arial"/>
                <w:sz w:val="16"/>
                <w:szCs w:val="16"/>
              </w:rPr>
              <w:t>Marmora (2021)</w:t>
            </w:r>
          </w:p>
        </w:tc>
        <w:tc>
          <w:tcPr>
            <w:tcW w:w="2161" w:type="dxa"/>
          </w:tcPr>
          <w:p w14:paraId="09BE0FFB" w14:textId="26F2D0C3" w:rsidR="00C96753" w:rsidRPr="00135E51" w:rsidRDefault="00C96753" w:rsidP="00A50EC9">
            <w:pPr>
              <w:rPr>
                <w:rFonts w:asciiTheme="majorHAnsi" w:hAnsiTheme="majorHAnsi" w:cs="Arial"/>
                <w:sz w:val="16"/>
                <w:szCs w:val="16"/>
              </w:rPr>
            </w:pPr>
            <w:r>
              <w:rPr>
                <w:rFonts w:asciiTheme="majorHAnsi" w:hAnsiTheme="majorHAnsi" w:cs="Arial"/>
                <w:sz w:val="16"/>
                <w:szCs w:val="16"/>
              </w:rPr>
              <w:t>Quantitative – Panel Data</w:t>
            </w:r>
          </w:p>
        </w:tc>
        <w:tc>
          <w:tcPr>
            <w:tcW w:w="4620" w:type="dxa"/>
          </w:tcPr>
          <w:p w14:paraId="5B77BEA3" w14:textId="4D6161DF" w:rsidR="00C96753" w:rsidRPr="00135E51" w:rsidRDefault="00C96753" w:rsidP="00A50EC9">
            <w:pPr>
              <w:rPr>
                <w:rFonts w:asciiTheme="majorHAnsi" w:hAnsiTheme="majorHAnsi" w:cs="Arial"/>
                <w:sz w:val="16"/>
                <w:szCs w:val="16"/>
              </w:rPr>
            </w:pPr>
            <w:r>
              <w:rPr>
                <w:rFonts w:asciiTheme="majorHAnsi" w:hAnsiTheme="majorHAnsi" w:cs="Arial"/>
                <w:sz w:val="16"/>
                <w:szCs w:val="16"/>
              </w:rPr>
              <w:t>National Bitcoin trading volume is positively correlated to marked shocks in the shadow economy (raids, seizures), indicating illicit use.</w:t>
            </w:r>
          </w:p>
        </w:tc>
      </w:tr>
      <w:tr w:rsidR="00C96753" w14:paraId="2BA3ED52" w14:textId="77777777" w:rsidTr="00D50D8E">
        <w:trPr>
          <w:trHeight w:val="156"/>
        </w:trPr>
        <w:tc>
          <w:tcPr>
            <w:tcW w:w="1037" w:type="dxa"/>
            <w:vMerge/>
            <w:vAlign w:val="center"/>
          </w:tcPr>
          <w:p w14:paraId="635A7B7D" w14:textId="27BED20F" w:rsidR="00C96753" w:rsidRPr="00135E51" w:rsidRDefault="00C96753" w:rsidP="00E203B8">
            <w:pPr>
              <w:rPr>
                <w:rFonts w:asciiTheme="majorHAnsi" w:hAnsiTheme="majorHAnsi" w:cs="Arial"/>
                <w:sz w:val="16"/>
                <w:szCs w:val="16"/>
              </w:rPr>
            </w:pPr>
          </w:p>
        </w:tc>
        <w:tc>
          <w:tcPr>
            <w:tcW w:w="1551" w:type="dxa"/>
            <w:vMerge/>
          </w:tcPr>
          <w:p w14:paraId="214066A5" w14:textId="01E19CA3" w:rsidR="00C96753" w:rsidRPr="00135E51" w:rsidRDefault="00C96753" w:rsidP="00A50EC9">
            <w:pPr>
              <w:rPr>
                <w:rFonts w:asciiTheme="majorHAnsi" w:hAnsiTheme="majorHAnsi" w:cs="Arial"/>
                <w:sz w:val="16"/>
                <w:szCs w:val="16"/>
              </w:rPr>
            </w:pPr>
          </w:p>
        </w:tc>
        <w:tc>
          <w:tcPr>
            <w:tcW w:w="1546" w:type="dxa"/>
          </w:tcPr>
          <w:p w14:paraId="3EAE8190" w14:textId="53B4B474" w:rsidR="00C96753" w:rsidRPr="00135E51" w:rsidRDefault="00C96753" w:rsidP="00A50EC9">
            <w:pPr>
              <w:rPr>
                <w:rFonts w:asciiTheme="majorHAnsi" w:hAnsiTheme="majorHAnsi" w:cs="Arial"/>
                <w:sz w:val="16"/>
                <w:szCs w:val="16"/>
              </w:rPr>
            </w:pPr>
            <w:r w:rsidRPr="00135E51">
              <w:rPr>
                <w:rFonts w:asciiTheme="majorHAnsi" w:hAnsiTheme="majorHAnsi" w:cs="Arial"/>
                <w:sz w:val="16"/>
                <w:szCs w:val="16"/>
              </w:rPr>
              <w:t>Saurabh (2017)</w:t>
            </w:r>
          </w:p>
        </w:tc>
        <w:tc>
          <w:tcPr>
            <w:tcW w:w="2161" w:type="dxa"/>
          </w:tcPr>
          <w:p w14:paraId="47AD3EF0" w14:textId="3808938E" w:rsidR="00C96753" w:rsidRPr="00135E51" w:rsidRDefault="00C96753" w:rsidP="00A50EC9">
            <w:pPr>
              <w:rPr>
                <w:rFonts w:asciiTheme="majorHAnsi" w:hAnsiTheme="majorHAnsi" w:cs="Arial"/>
                <w:sz w:val="16"/>
                <w:szCs w:val="16"/>
              </w:rPr>
            </w:pPr>
            <w:r w:rsidRPr="00135E51">
              <w:rPr>
                <w:rFonts w:asciiTheme="majorHAnsi" w:hAnsiTheme="majorHAnsi" w:cs="Arial"/>
                <w:sz w:val="16"/>
                <w:szCs w:val="16"/>
              </w:rPr>
              <w:t>Anecdotal</w:t>
            </w:r>
          </w:p>
        </w:tc>
        <w:tc>
          <w:tcPr>
            <w:tcW w:w="4620" w:type="dxa"/>
          </w:tcPr>
          <w:p w14:paraId="5C545DEB" w14:textId="27A70750" w:rsidR="00C96753" w:rsidRPr="00135E51" w:rsidRDefault="00C96753" w:rsidP="00A50EC9">
            <w:pPr>
              <w:rPr>
                <w:rFonts w:asciiTheme="majorHAnsi" w:hAnsiTheme="majorHAnsi" w:cs="Arial"/>
                <w:sz w:val="16"/>
                <w:szCs w:val="16"/>
              </w:rPr>
            </w:pPr>
            <w:r w:rsidRPr="00135E51">
              <w:rPr>
                <w:rFonts w:asciiTheme="majorHAnsi" w:hAnsiTheme="majorHAnsi" w:cs="Arial"/>
                <w:sz w:val="16"/>
                <w:szCs w:val="16"/>
              </w:rPr>
              <w:t xml:space="preserve">There are websites, such as Silk Road (1,2) where people can buy outlawed goods, online. </w:t>
            </w:r>
          </w:p>
        </w:tc>
      </w:tr>
      <w:tr w:rsidR="00C96753" w14:paraId="77F7BF0E" w14:textId="77777777" w:rsidTr="00D50D8E">
        <w:trPr>
          <w:trHeight w:val="858"/>
        </w:trPr>
        <w:tc>
          <w:tcPr>
            <w:tcW w:w="1037" w:type="dxa"/>
            <w:vMerge/>
            <w:vAlign w:val="center"/>
          </w:tcPr>
          <w:p w14:paraId="0FD89EE9" w14:textId="77777777" w:rsidR="00C96753" w:rsidRPr="00135E51" w:rsidRDefault="00C96753" w:rsidP="00E203B8">
            <w:pPr>
              <w:rPr>
                <w:rFonts w:asciiTheme="majorHAnsi" w:hAnsiTheme="majorHAnsi" w:cs="Arial"/>
                <w:sz w:val="16"/>
                <w:szCs w:val="16"/>
              </w:rPr>
            </w:pPr>
          </w:p>
        </w:tc>
        <w:tc>
          <w:tcPr>
            <w:tcW w:w="1551" w:type="dxa"/>
            <w:vMerge w:val="restart"/>
          </w:tcPr>
          <w:p w14:paraId="0454FD3B" w14:textId="676A82A3" w:rsidR="00C96753" w:rsidRPr="00135E51" w:rsidRDefault="00C96753" w:rsidP="00A50EC9">
            <w:pPr>
              <w:rPr>
                <w:rFonts w:asciiTheme="majorHAnsi" w:hAnsiTheme="majorHAnsi" w:cs="Arial"/>
                <w:sz w:val="16"/>
                <w:szCs w:val="16"/>
              </w:rPr>
            </w:pPr>
            <w:r w:rsidRPr="00135E51">
              <w:rPr>
                <w:rFonts w:asciiTheme="majorHAnsi" w:hAnsiTheme="majorHAnsi" w:cs="Arial"/>
                <w:sz w:val="16"/>
                <w:szCs w:val="16"/>
              </w:rPr>
              <w:t>Cryptocurrencies are being used to evade sanctions</w:t>
            </w:r>
          </w:p>
        </w:tc>
        <w:tc>
          <w:tcPr>
            <w:tcW w:w="1546" w:type="dxa"/>
          </w:tcPr>
          <w:p w14:paraId="4B8376D5" w14:textId="0B8D8CFB" w:rsidR="00C96753" w:rsidRPr="00135E51" w:rsidRDefault="00C96753" w:rsidP="00A50EC9">
            <w:pPr>
              <w:rPr>
                <w:rFonts w:asciiTheme="majorHAnsi" w:hAnsiTheme="majorHAnsi" w:cs="Arial"/>
                <w:sz w:val="16"/>
                <w:szCs w:val="16"/>
              </w:rPr>
            </w:pPr>
            <w:r w:rsidRPr="00135E51">
              <w:rPr>
                <w:rFonts w:asciiTheme="majorHAnsi" w:hAnsiTheme="majorHAnsi" w:cs="Arial"/>
                <w:sz w:val="16"/>
                <w:szCs w:val="16"/>
              </w:rPr>
              <w:t>Sarvi (2020)</w:t>
            </w:r>
          </w:p>
        </w:tc>
        <w:tc>
          <w:tcPr>
            <w:tcW w:w="2161" w:type="dxa"/>
          </w:tcPr>
          <w:p w14:paraId="0D729E47" w14:textId="76F19C88" w:rsidR="00C96753" w:rsidRPr="00135E51" w:rsidRDefault="00C96753" w:rsidP="00A50EC9">
            <w:pPr>
              <w:rPr>
                <w:rFonts w:asciiTheme="majorHAnsi" w:hAnsiTheme="majorHAnsi" w:cs="Arial"/>
                <w:sz w:val="16"/>
                <w:szCs w:val="16"/>
              </w:rPr>
            </w:pPr>
            <w:r w:rsidRPr="00135E51">
              <w:rPr>
                <w:rFonts w:asciiTheme="majorHAnsi" w:hAnsiTheme="majorHAnsi" w:cs="Arial"/>
                <w:sz w:val="16"/>
                <w:szCs w:val="16"/>
              </w:rPr>
              <w:t>Case Study</w:t>
            </w:r>
            <w:r>
              <w:rPr>
                <w:rFonts w:asciiTheme="majorHAnsi" w:hAnsiTheme="majorHAnsi" w:cs="Arial"/>
                <w:sz w:val="16"/>
                <w:szCs w:val="16"/>
              </w:rPr>
              <w:t xml:space="preserve"> – Iran</w:t>
            </w:r>
          </w:p>
        </w:tc>
        <w:tc>
          <w:tcPr>
            <w:tcW w:w="4620" w:type="dxa"/>
          </w:tcPr>
          <w:p w14:paraId="012EB58E" w14:textId="45638319" w:rsidR="00C96753" w:rsidRPr="00135E51" w:rsidRDefault="00C96753" w:rsidP="00A50EC9">
            <w:pPr>
              <w:rPr>
                <w:rFonts w:asciiTheme="majorHAnsi" w:hAnsiTheme="majorHAnsi" w:cs="Arial"/>
                <w:sz w:val="16"/>
                <w:szCs w:val="16"/>
              </w:rPr>
            </w:pPr>
            <w:r w:rsidRPr="00135E51">
              <w:rPr>
                <w:rFonts w:asciiTheme="majorHAnsi" w:hAnsiTheme="majorHAnsi" w:cs="Arial"/>
                <w:sz w:val="16"/>
                <w:szCs w:val="16"/>
              </w:rPr>
              <w:t xml:space="preserve">Bitcoin is a suitable cryptocurrency for Iran to use in evading international sanctions. Note: The study was conducted at an Iranian university </w:t>
            </w:r>
          </w:p>
        </w:tc>
      </w:tr>
      <w:tr w:rsidR="00C96753" w14:paraId="16DC1AAC" w14:textId="77777777" w:rsidTr="00D50D8E">
        <w:trPr>
          <w:trHeight w:val="156"/>
        </w:trPr>
        <w:tc>
          <w:tcPr>
            <w:tcW w:w="1037" w:type="dxa"/>
            <w:vMerge/>
            <w:vAlign w:val="center"/>
          </w:tcPr>
          <w:p w14:paraId="63E9972A" w14:textId="77777777" w:rsidR="00C96753" w:rsidRPr="00135E51" w:rsidRDefault="00C96753" w:rsidP="00E203B8">
            <w:pPr>
              <w:rPr>
                <w:rFonts w:asciiTheme="majorHAnsi" w:hAnsiTheme="majorHAnsi" w:cs="Arial"/>
                <w:sz w:val="16"/>
                <w:szCs w:val="16"/>
              </w:rPr>
            </w:pPr>
          </w:p>
        </w:tc>
        <w:tc>
          <w:tcPr>
            <w:tcW w:w="1551" w:type="dxa"/>
            <w:vMerge/>
          </w:tcPr>
          <w:p w14:paraId="13592424" w14:textId="77777777" w:rsidR="00C96753" w:rsidRPr="00135E51" w:rsidRDefault="00C96753" w:rsidP="00A50EC9">
            <w:pPr>
              <w:rPr>
                <w:rFonts w:asciiTheme="majorHAnsi" w:hAnsiTheme="majorHAnsi" w:cs="Arial"/>
                <w:sz w:val="16"/>
                <w:szCs w:val="16"/>
              </w:rPr>
            </w:pPr>
          </w:p>
        </w:tc>
        <w:tc>
          <w:tcPr>
            <w:tcW w:w="1546" w:type="dxa"/>
          </w:tcPr>
          <w:p w14:paraId="5DCC328C" w14:textId="07ABF218" w:rsidR="00C96753" w:rsidRPr="00135E51" w:rsidRDefault="00C96753" w:rsidP="00A50EC9">
            <w:pPr>
              <w:rPr>
                <w:rFonts w:asciiTheme="majorHAnsi" w:hAnsiTheme="majorHAnsi" w:cs="Arial"/>
                <w:sz w:val="16"/>
                <w:szCs w:val="16"/>
              </w:rPr>
            </w:pPr>
            <w:proofErr w:type="spellStart"/>
            <w:r w:rsidRPr="00135E51">
              <w:rPr>
                <w:rFonts w:asciiTheme="majorHAnsi" w:hAnsiTheme="majorHAnsi" w:cs="Arial"/>
                <w:sz w:val="16"/>
                <w:szCs w:val="16"/>
              </w:rPr>
              <w:t>Chainalysis</w:t>
            </w:r>
            <w:proofErr w:type="spellEnd"/>
            <w:r w:rsidRPr="00135E51">
              <w:rPr>
                <w:rFonts w:asciiTheme="majorHAnsi" w:hAnsiTheme="majorHAnsi" w:cs="Arial"/>
                <w:sz w:val="16"/>
                <w:szCs w:val="16"/>
              </w:rPr>
              <w:t xml:space="preserve"> (2020)</w:t>
            </w:r>
          </w:p>
        </w:tc>
        <w:tc>
          <w:tcPr>
            <w:tcW w:w="2161" w:type="dxa"/>
          </w:tcPr>
          <w:p w14:paraId="7DBC0AE9" w14:textId="69B5A547" w:rsidR="00C96753" w:rsidRPr="00135E51" w:rsidRDefault="00C96753" w:rsidP="00A50EC9">
            <w:pPr>
              <w:rPr>
                <w:rFonts w:asciiTheme="majorHAnsi" w:hAnsiTheme="majorHAnsi" w:cs="Arial"/>
                <w:sz w:val="16"/>
                <w:szCs w:val="16"/>
              </w:rPr>
            </w:pPr>
            <w:r>
              <w:rPr>
                <w:rFonts w:asciiTheme="majorHAnsi" w:hAnsiTheme="majorHAnsi" w:cs="Arial"/>
                <w:sz w:val="16"/>
                <w:szCs w:val="16"/>
              </w:rPr>
              <w:t xml:space="preserve">Authors provide just </w:t>
            </w:r>
            <w:proofErr w:type="gramStart"/>
            <w:r>
              <w:rPr>
                <w:rFonts w:asciiTheme="majorHAnsi" w:hAnsiTheme="majorHAnsi" w:cs="Arial"/>
                <w:sz w:val="16"/>
                <w:szCs w:val="16"/>
              </w:rPr>
              <w:t>data,</w:t>
            </w:r>
            <w:proofErr w:type="gramEnd"/>
            <w:r>
              <w:rPr>
                <w:rFonts w:asciiTheme="majorHAnsi" w:hAnsiTheme="majorHAnsi" w:cs="Arial"/>
                <w:sz w:val="16"/>
                <w:szCs w:val="16"/>
              </w:rPr>
              <w:t xml:space="preserve"> conclusion is my own.</w:t>
            </w:r>
          </w:p>
        </w:tc>
        <w:tc>
          <w:tcPr>
            <w:tcW w:w="4620" w:type="dxa"/>
          </w:tcPr>
          <w:p w14:paraId="31FB759F" w14:textId="32EB33B6" w:rsidR="00C96753" w:rsidRPr="00135E51" w:rsidRDefault="00C96753" w:rsidP="00A50EC9">
            <w:pPr>
              <w:rPr>
                <w:rFonts w:asciiTheme="majorHAnsi" w:hAnsiTheme="majorHAnsi" w:cs="Arial"/>
                <w:sz w:val="16"/>
                <w:szCs w:val="16"/>
              </w:rPr>
            </w:pPr>
            <w:r w:rsidRPr="00135E51">
              <w:rPr>
                <w:rFonts w:asciiTheme="majorHAnsi" w:hAnsiTheme="majorHAnsi" w:cs="Arial"/>
                <w:sz w:val="16"/>
                <w:szCs w:val="16"/>
              </w:rPr>
              <w:t>75% of trades at a random Venezuelan exchange were over USD 1000 (suggesting elites were trading).</w:t>
            </w:r>
          </w:p>
        </w:tc>
      </w:tr>
      <w:tr w:rsidR="00C96753" w14:paraId="73EA2ABB" w14:textId="77777777" w:rsidTr="00D50D8E">
        <w:trPr>
          <w:trHeight w:val="156"/>
        </w:trPr>
        <w:tc>
          <w:tcPr>
            <w:tcW w:w="1037" w:type="dxa"/>
            <w:vMerge/>
            <w:vAlign w:val="center"/>
          </w:tcPr>
          <w:p w14:paraId="3F2E1E2D" w14:textId="77777777" w:rsidR="00C96753" w:rsidRPr="00135E51" w:rsidRDefault="00C96753" w:rsidP="00E203B8">
            <w:pPr>
              <w:rPr>
                <w:rFonts w:asciiTheme="majorHAnsi" w:hAnsiTheme="majorHAnsi" w:cs="Arial"/>
                <w:sz w:val="16"/>
                <w:szCs w:val="16"/>
              </w:rPr>
            </w:pPr>
          </w:p>
        </w:tc>
        <w:tc>
          <w:tcPr>
            <w:tcW w:w="1551" w:type="dxa"/>
            <w:vMerge w:val="restart"/>
          </w:tcPr>
          <w:p w14:paraId="67488C92" w14:textId="71D67EFE" w:rsidR="00C96753" w:rsidRPr="00135E51" w:rsidRDefault="00C96753" w:rsidP="00A50EC9">
            <w:pPr>
              <w:rPr>
                <w:rFonts w:asciiTheme="majorHAnsi" w:hAnsiTheme="majorHAnsi" w:cs="Arial"/>
                <w:sz w:val="16"/>
                <w:szCs w:val="16"/>
              </w:rPr>
            </w:pPr>
            <w:r>
              <w:rPr>
                <w:rFonts w:asciiTheme="majorHAnsi" w:hAnsiTheme="majorHAnsi" w:cs="Arial"/>
                <w:sz w:val="16"/>
                <w:szCs w:val="16"/>
              </w:rPr>
              <w:t>Corruption</w:t>
            </w:r>
          </w:p>
        </w:tc>
        <w:tc>
          <w:tcPr>
            <w:tcW w:w="1546" w:type="dxa"/>
          </w:tcPr>
          <w:p w14:paraId="6545B047" w14:textId="4672A6FC" w:rsidR="00C96753" w:rsidRPr="00135E51" w:rsidRDefault="00C96753" w:rsidP="00A50EC9">
            <w:pPr>
              <w:rPr>
                <w:rFonts w:asciiTheme="majorHAnsi" w:hAnsiTheme="majorHAnsi" w:cs="Arial"/>
                <w:sz w:val="16"/>
                <w:szCs w:val="16"/>
              </w:rPr>
            </w:pPr>
            <w:r>
              <w:rPr>
                <w:rFonts w:asciiTheme="majorHAnsi" w:hAnsiTheme="majorHAnsi" w:cs="Arial"/>
                <w:sz w:val="16"/>
                <w:szCs w:val="16"/>
              </w:rPr>
              <w:t>Carlson (2016)</w:t>
            </w:r>
          </w:p>
        </w:tc>
        <w:tc>
          <w:tcPr>
            <w:tcW w:w="2161" w:type="dxa"/>
          </w:tcPr>
          <w:p w14:paraId="3D887B92" w14:textId="4D341416" w:rsidR="00C96753" w:rsidRDefault="00C96753" w:rsidP="00A50EC9">
            <w:pPr>
              <w:rPr>
                <w:rFonts w:asciiTheme="majorHAnsi" w:hAnsiTheme="majorHAnsi" w:cs="Arial"/>
                <w:sz w:val="16"/>
                <w:szCs w:val="16"/>
              </w:rPr>
            </w:pPr>
            <w:r>
              <w:rPr>
                <w:rFonts w:asciiTheme="majorHAnsi" w:hAnsiTheme="majorHAnsi" w:cs="Arial"/>
                <w:sz w:val="16"/>
                <w:szCs w:val="16"/>
              </w:rPr>
              <w:t>Interview of experts on Argentina.</w:t>
            </w:r>
          </w:p>
        </w:tc>
        <w:tc>
          <w:tcPr>
            <w:tcW w:w="4620" w:type="dxa"/>
          </w:tcPr>
          <w:p w14:paraId="37F95978" w14:textId="6A99729B" w:rsidR="00C96753" w:rsidRPr="00135E51" w:rsidRDefault="00C96753" w:rsidP="00A50EC9">
            <w:pPr>
              <w:rPr>
                <w:rFonts w:asciiTheme="majorHAnsi" w:hAnsiTheme="majorHAnsi" w:cs="Arial"/>
                <w:sz w:val="16"/>
                <w:szCs w:val="16"/>
              </w:rPr>
            </w:pPr>
            <w:r>
              <w:rPr>
                <w:rFonts w:asciiTheme="majorHAnsi" w:hAnsiTheme="majorHAnsi" w:cs="Arial"/>
                <w:sz w:val="16"/>
                <w:szCs w:val="16"/>
              </w:rPr>
              <w:t>Argentina’s history of corruption fosters the use of Bitcoin.</w:t>
            </w:r>
          </w:p>
        </w:tc>
      </w:tr>
      <w:tr w:rsidR="00D50D8E" w14:paraId="6BC33113" w14:textId="2E8BFE68" w:rsidTr="00D50D8E">
        <w:trPr>
          <w:trHeight w:val="156"/>
        </w:trPr>
        <w:tc>
          <w:tcPr>
            <w:tcW w:w="1037" w:type="dxa"/>
            <w:vMerge/>
            <w:vAlign w:val="center"/>
          </w:tcPr>
          <w:p w14:paraId="32E8DB7F" w14:textId="77777777" w:rsidR="00D50D8E" w:rsidRPr="00135E51" w:rsidRDefault="00D50D8E" w:rsidP="00C96753">
            <w:pPr>
              <w:rPr>
                <w:rFonts w:asciiTheme="majorHAnsi" w:hAnsiTheme="majorHAnsi" w:cs="Arial"/>
                <w:sz w:val="16"/>
                <w:szCs w:val="16"/>
              </w:rPr>
            </w:pPr>
          </w:p>
        </w:tc>
        <w:tc>
          <w:tcPr>
            <w:tcW w:w="1551" w:type="dxa"/>
            <w:vMerge/>
          </w:tcPr>
          <w:p w14:paraId="2A397001" w14:textId="77777777" w:rsidR="00D50D8E" w:rsidRDefault="00D50D8E" w:rsidP="00C96753">
            <w:pPr>
              <w:rPr>
                <w:rFonts w:asciiTheme="majorHAnsi" w:hAnsiTheme="majorHAnsi" w:cs="Arial"/>
                <w:sz w:val="16"/>
                <w:szCs w:val="16"/>
              </w:rPr>
            </w:pPr>
          </w:p>
        </w:tc>
        <w:tc>
          <w:tcPr>
            <w:tcW w:w="1546" w:type="dxa"/>
          </w:tcPr>
          <w:p w14:paraId="788A9A2C" w14:textId="0B99190A" w:rsidR="00D50D8E" w:rsidRDefault="00D50D8E" w:rsidP="00C96753">
            <w:pPr>
              <w:rPr>
                <w:rFonts w:asciiTheme="majorHAnsi" w:hAnsiTheme="majorHAnsi" w:cs="Arial"/>
                <w:sz w:val="16"/>
                <w:szCs w:val="16"/>
              </w:rPr>
            </w:pPr>
            <w:proofErr w:type="spellStart"/>
            <w:r w:rsidRPr="00E1746E">
              <w:rPr>
                <w:rFonts w:asciiTheme="majorHAnsi" w:hAnsiTheme="majorHAnsi" w:cs="Arial"/>
                <w:sz w:val="16"/>
                <w:szCs w:val="16"/>
              </w:rPr>
              <w:t>Alnasaa</w:t>
            </w:r>
            <w:proofErr w:type="spellEnd"/>
            <w:r>
              <w:rPr>
                <w:rFonts w:asciiTheme="majorHAnsi" w:hAnsiTheme="majorHAnsi" w:cs="Arial"/>
                <w:sz w:val="16"/>
                <w:szCs w:val="16"/>
              </w:rPr>
              <w:t xml:space="preserve"> et al. (2022)</w:t>
            </w:r>
          </w:p>
        </w:tc>
        <w:tc>
          <w:tcPr>
            <w:tcW w:w="2161" w:type="dxa"/>
          </w:tcPr>
          <w:p w14:paraId="78497295" w14:textId="0B625500" w:rsidR="00D50D8E" w:rsidRDefault="00D50D8E" w:rsidP="00C96753">
            <w:pPr>
              <w:rPr>
                <w:rFonts w:asciiTheme="majorHAnsi" w:hAnsiTheme="majorHAnsi" w:cs="Arial"/>
                <w:sz w:val="16"/>
                <w:szCs w:val="16"/>
              </w:rPr>
            </w:pPr>
            <w:r>
              <w:rPr>
                <w:rFonts w:asciiTheme="majorHAnsi" w:hAnsiTheme="majorHAnsi" w:cs="Arial"/>
                <w:sz w:val="16"/>
                <w:szCs w:val="16"/>
              </w:rPr>
              <w:t>Quantitative – cross country</w:t>
            </w:r>
          </w:p>
        </w:tc>
        <w:tc>
          <w:tcPr>
            <w:tcW w:w="4620" w:type="dxa"/>
          </w:tcPr>
          <w:p w14:paraId="34BDADD9" w14:textId="4C741BBE" w:rsidR="00D50D8E" w:rsidRDefault="00D50D8E" w:rsidP="00C96753">
            <w:pPr>
              <w:rPr>
                <w:rFonts w:asciiTheme="majorHAnsi" w:hAnsiTheme="majorHAnsi" w:cs="Arial"/>
                <w:sz w:val="16"/>
                <w:szCs w:val="16"/>
              </w:rPr>
            </w:pPr>
            <w:r>
              <w:rPr>
                <w:rFonts w:asciiTheme="majorHAnsi" w:hAnsiTheme="majorHAnsi" w:cs="Arial"/>
                <w:sz w:val="16"/>
                <w:szCs w:val="16"/>
              </w:rPr>
              <w:t>Corruption is positively correlated to cryptocurrency adoption</w:t>
            </w:r>
          </w:p>
        </w:tc>
      </w:tr>
      <w:tr w:rsidR="00C96753" w14:paraId="7ECB4007" w14:textId="77777777" w:rsidTr="00D50D8E">
        <w:trPr>
          <w:trHeight w:val="429"/>
        </w:trPr>
        <w:tc>
          <w:tcPr>
            <w:tcW w:w="1037" w:type="dxa"/>
            <w:vMerge w:val="restart"/>
            <w:vAlign w:val="center"/>
          </w:tcPr>
          <w:p w14:paraId="216E8511" w14:textId="21866A82"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Remittances</w:t>
            </w:r>
          </w:p>
        </w:tc>
        <w:tc>
          <w:tcPr>
            <w:tcW w:w="1551" w:type="dxa"/>
            <w:vMerge w:val="restart"/>
          </w:tcPr>
          <w:p w14:paraId="27F3AB41" w14:textId="6BF7B798"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Remittances can be a use case for Bitcoin</w:t>
            </w:r>
          </w:p>
        </w:tc>
        <w:tc>
          <w:tcPr>
            <w:tcW w:w="1546" w:type="dxa"/>
          </w:tcPr>
          <w:p w14:paraId="49FD9A6E" w14:textId="0A1E95D1" w:rsidR="00C96753" w:rsidRPr="00135E51" w:rsidRDefault="00C96753" w:rsidP="00C96753">
            <w:pPr>
              <w:rPr>
                <w:rFonts w:asciiTheme="majorHAnsi" w:hAnsiTheme="majorHAnsi" w:cs="Arial"/>
                <w:sz w:val="16"/>
                <w:szCs w:val="16"/>
              </w:rPr>
            </w:pPr>
            <w:proofErr w:type="spellStart"/>
            <w:r w:rsidRPr="00135E51">
              <w:rPr>
                <w:rFonts w:asciiTheme="majorHAnsi" w:hAnsiTheme="majorHAnsi" w:cs="Arial"/>
                <w:sz w:val="16"/>
                <w:szCs w:val="16"/>
              </w:rPr>
              <w:t>Folkinshteyn</w:t>
            </w:r>
            <w:proofErr w:type="spellEnd"/>
            <w:r w:rsidRPr="00135E51">
              <w:rPr>
                <w:rFonts w:asciiTheme="majorHAnsi" w:hAnsiTheme="majorHAnsi" w:cs="Arial"/>
                <w:sz w:val="16"/>
                <w:szCs w:val="16"/>
              </w:rPr>
              <w:t xml:space="preserve"> et al. (2015)</w:t>
            </w:r>
          </w:p>
        </w:tc>
        <w:tc>
          <w:tcPr>
            <w:tcW w:w="2161" w:type="dxa"/>
          </w:tcPr>
          <w:p w14:paraId="211A422F" w14:textId="745812E2"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Case Study</w:t>
            </w:r>
          </w:p>
        </w:tc>
        <w:tc>
          <w:tcPr>
            <w:tcW w:w="4620" w:type="dxa"/>
          </w:tcPr>
          <w:p w14:paraId="0769BED9" w14:textId="253CEDA3"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Bitcoins properties make it suitable for use as a low-cost remittance payment system.</w:t>
            </w:r>
          </w:p>
        </w:tc>
      </w:tr>
      <w:tr w:rsidR="00C96753" w14:paraId="6F97618B" w14:textId="77777777" w:rsidTr="00D50D8E">
        <w:trPr>
          <w:trHeight w:val="156"/>
        </w:trPr>
        <w:tc>
          <w:tcPr>
            <w:tcW w:w="1037" w:type="dxa"/>
            <w:vMerge/>
            <w:vAlign w:val="center"/>
          </w:tcPr>
          <w:p w14:paraId="7F67C3DC" w14:textId="77777777" w:rsidR="00C96753" w:rsidRPr="00135E51" w:rsidRDefault="00C96753" w:rsidP="00C96753">
            <w:pPr>
              <w:rPr>
                <w:rFonts w:asciiTheme="majorHAnsi" w:hAnsiTheme="majorHAnsi" w:cs="Arial"/>
                <w:sz w:val="16"/>
                <w:szCs w:val="16"/>
              </w:rPr>
            </w:pPr>
          </w:p>
        </w:tc>
        <w:tc>
          <w:tcPr>
            <w:tcW w:w="1551" w:type="dxa"/>
            <w:vMerge/>
          </w:tcPr>
          <w:p w14:paraId="4AD1DA4A" w14:textId="77777777" w:rsidR="00C96753" w:rsidRPr="00135E51" w:rsidRDefault="00C96753" w:rsidP="00C96753">
            <w:pPr>
              <w:rPr>
                <w:rFonts w:asciiTheme="majorHAnsi" w:hAnsiTheme="majorHAnsi" w:cs="Arial"/>
                <w:sz w:val="16"/>
                <w:szCs w:val="16"/>
              </w:rPr>
            </w:pPr>
          </w:p>
        </w:tc>
        <w:tc>
          <w:tcPr>
            <w:tcW w:w="1546" w:type="dxa"/>
          </w:tcPr>
          <w:p w14:paraId="6FB01D06" w14:textId="59899C16"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BBC (2021)</w:t>
            </w:r>
          </w:p>
        </w:tc>
        <w:tc>
          <w:tcPr>
            <w:tcW w:w="2161" w:type="dxa"/>
          </w:tcPr>
          <w:p w14:paraId="52566EB5" w14:textId="6E708A0C"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Anecdotal</w:t>
            </w:r>
          </w:p>
        </w:tc>
        <w:tc>
          <w:tcPr>
            <w:tcW w:w="4620" w:type="dxa"/>
          </w:tcPr>
          <w:p w14:paraId="58E1F596" w14:textId="5F940FA1"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El Salvador’s official reason for adopting Bitcoin as legal tender was to reduce money being lost to fees as emigrated El Salvadorians send money back into the country.</w:t>
            </w:r>
          </w:p>
        </w:tc>
      </w:tr>
      <w:tr w:rsidR="00C96753" w14:paraId="1CAEE8B4" w14:textId="77777777" w:rsidTr="00D50D8E">
        <w:trPr>
          <w:trHeight w:val="156"/>
        </w:trPr>
        <w:tc>
          <w:tcPr>
            <w:tcW w:w="1037" w:type="dxa"/>
            <w:vMerge/>
            <w:vAlign w:val="center"/>
          </w:tcPr>
          <w:p w14:paraId="42E42CB0" w14:textId="77777777" w:rsidR="00C96753" w:rsidRPr="00135E51" w:rsidRDefault="00C96753" w:rsidP="00C96753">
            <w:pPr>
              <w:rPr>
                <w:rFonts w:asciiTheme="majorHAnsi" w:hAnsiTheme="majorHAnsi" w:cs="Arial"/>
                <w:sz w:val="16"/>
                <w:szCs w:val="16"/>
              </w:rPr>
            </w:pPr>
          </w:p>
        </w:tc>
        <w:tc>
          <w:tcPr>
            <w:tcW w:w="1551" w:type="dxa"/>
            <w:vMerge/>
          </w:tcPr>
          <w:p w14:paraId="46932298" w14:textId="77777777" w:rsidR="00C96753" w:rsidRPr="00135E51" w:rsidRDefault="00C96753" w:rsidP="00C96753">
            <w:pPr>
              <w:rPr>
                <w:rFonts w:asciiTheme="majorHAnsi" w:hAnsiTheme="majorHAnsi" w:cs="Arial"/>
                <w:sz w:val="16"/>
                <w:szCs w:val="16"/>
              </w:rPr>
            </w:pPr>
          </w:p>
        </w:tc>
        <w:tc>
          <w:tcPr>
            <w:tcW w:w="1546" w:type="dxa"/>
          </w:tcPr>
          <w:p w14:paraId="15A30613" w14:textId="36B7FD3C" w:rsidR="00C96753" w:rsidRPr="00135E51" w:rsidRDefault="00C96753" w:rsidP="00C96753">
            <w:pPr>
              <w:rPr>
                <w:rFonts w:asciiTheme="majorHAnsi" w:hAnsiTheme="majorHAnsi" w:cs="Arial"/>
                <w:sz w:val="16"/>
                <w:szCs w:val="16"/>
              </w:rPr>
            </w:pPr>
            <w:r>
              <w:rPr>
                <w:rFonts w:asciiTheme="majorHAnsi" w:hAnsiTheme="majorHAnsi" w:cs="Arial"/>
                <w:sz w:val="16"/>
                <w:szCs w:val="16"/>
              </w:rPr>
              <w:t>Ruchti (2019)</w:t>
            </w:r>
          </w:p>
        </w:tc>
        <w:tc>
          <w:tcPr>
            <w:tcW w:w="2161" w:type="dxa"/>
          </w:tcPr>
          <w:p w14:paraId="2A2CCD1D" w14:textId="64596FE9" w:rsidR="00C96753" w:rsidRPr="00135E51" w:rsidRDefault="00C96753" w:rsidP="00C96753">
            <w:pPr>
              <w:rPr>
                <w:rFonts w:asciiTheme="majorHAnsi" w:hAnsiTheme="majorHAnsi" w:cs="Arial"/>
                <w:sz w:val="16"/>
                <w:szCs w:val="16"/>
              </w:rPr>
            </w:pPr>
            <w:r>
              <w:rPr>
                <w:rFonts w:asciiTheme="majorHAnsi" w:hAnsiTheme="majorHAnsi" w:cs="Arial"/>
                <w:sz w:val="16"/>
                <w:szCs w:val="16"/>
              </w:rPr>
              <w:t>Case Study</w:t>
            </w:r>
          </w:p>
        </w:tc>
        <w:tc>
          <w:tcPr>
            <w:tcW w:w="4620" w:type="dxa"/>
          </w:tcPr>
          <w:p w14:paraId="13C58C95" w14:textId="5AC850F2" w:rsidR="00C96753" w:rsidRPr="00135E51" w:rsidRDefault="00C96753" w:rsidP="00C96753">
            <w:pPr>
              <w:rPr>
                <w:rFonts w:asciiTheme="majorHAnsi" w:hAnsiTheme="majorHAnsi" w:cs="Arial"/>
                <w:sz w:val="16"/>
                <w:szCs w:val="16"/>
              </w:rPr>
            </w:pPr>
            <w:r>
              <w:rPr>
                <w:rFonts w:asciiTheme="majorHAnsi" w:hAnsiTheme="majorHAnsi" w:cs="Arial"/>
                <w:sz w:val="16"/>
                <w:szCs w:val="16"/>
              </w:rPr>
              <w:t>Argues that Libra / Diem had the potential to increase financial inclusion of the unbanked through integration with communication platforms</w:t>
            </w:r>
          </w:p>
        </w:tc>
      </w:tr>
      <w:tr w:rsidR="00C96753" w14:paraId="77464EBD" w14:textId="77777777" w:rsidTr="00D50D8E">
        <w:trPr>
          <w:trHeight w:val="416"/>
        </w:trPr>
        <w:tc>
          <w:tcPr>
            <w:tcW w:w="1037" w:type="dxa"/>
            <w:vMerge w:val="restart"/>
            <w:vAlign w:val="center"/>
          </w:tcPr>
          <w:p w14:paraId="65772575" w14:textId="387747B7"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Capital Controls</w:t>
            </w:r>
          </w:p>
        </w:tc>
        <w:tc>
          <w:tcPr>
            <w:tcW w:w="1551" w:type="dxa"/>
            <w:vMerge w:val="restart"/>
          </w:tcPr>
          <w:p w14:paraId="26E4E6AD" w14:textId="6CDCA29E"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Capital controls can be a reason for adopting Bitcoin</w:t>
            </w:r>
          </w:p>
        </w:tc>
        <w:tc>
          <w:tcPr>
            <w:tcW w:w="1546" w:type="dxa"/>
          </w:tcPr>
          <w:p w14:paraId="36724747" w14:textId="30B98E97"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Carlson (2016)</w:t>
            </w:r>
          </w:p>
        </w:tc>
        <w:tc>
          <w:tcPr>
            <w:tcW w:w="2161" w:type="dxa"/>
          </w:tcPr>
          <w:p w14:paraId="59252CC2" w14:textId="4BF20A3A" w:rsidR="00C96753" w:rsidRPr="00135E51" w:rsidRDefault="00C96753" w:rsidP="00C96753">
            <w:pPr>
              <w:rPr>
                <w:rFonts w:asciiTheme="majorHAnsi" w:hAnsiTheme="majorHAnsi" w:cs="Arial"/>
                <w:sz w:val="16"/>
                <w:szCs w:val="16"/>
              </w:rPr>
            </w:pPr>
            <w:r>
              <w:rPr>
                <w:rFonts w:asciiTheme="majorHAnsi" w:hAnsiTheme="majorHAnsi" w:cs="Arial"/>
                <w:sz w:val="16"/>
                <w:szCs w:val="16"/>
              </w:rPr>
              <w:t>Interview of experts on Argentina.</w:t>
            </w:r>
          </w:p>
        </w:tc>
        <w:tc>
          <w:tcPr>
            <w:tcW w:w="4620" w:type="dxa"/>
          </w:tcPr>
          <w:p w14:paraId="0232F0A3" w14:textId="6B72FF06"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Capital controls drive the use of Bitcoin in Argentina.</w:t>
            </w:r>
          </w:p>
        </w:tc>
      </w:tr>
      <w:tr w:rsidR="00C96753" w14:paraId="70FF9F2E" w14:textId="77777777" w:rsidTr="00D50D8E">
        <w:trPr>
          <w:trHeight w:val="156"/>
        </w:trPr>
        <w:tc>
          <w:tcPr>
            <w:tcW w:w="1037" w:type="dxa"/>
            <w:vMerge/>
          </w:tcPr>
          <w:p w14:paraId="3FB7DE47" w14:textId="77777777" w:rsidR="00C96753" w:rsidRPr="00135E51" w:rsidRDefault="00C96753" w:rsidP="00C96753">
            <w:pPr>
              <w:rPr>
                <w:rFonts w:asciiTheme="majorHAnsi" w:hAnsiTheme="majorHAnsi" w:cs="Arial"/>
                <w:sz w:val="16"/>
                <w:szCs w:val="16"/>
              </w:rPr>
            </w:pPr>
          </w:p>
        </w:tc>
        <w:tc>
          <w:tcPr>
            <w:tcW w:w="1551" w:type="dxa"/>
            <w:vMerge/>
          </w:tcPr>
          <w:p w14:paraId="0BD71134" w14:textId="77777777" w:rsidR="00C96753" w:rsidRPr="00135E51" w:rsidRDefault="00C96753" w:rsidP="00C96753">
            <w:pPr>
              <w:rPr>
                <w:rFonts w:asciiTheme="majorHAnsi" w:hAnsiTheme="majorHAnsi" w:cs="Arial"/>
                <w:sz w:val="16"/>
                <w:szCs w:val="16"/>
              </w:rPr>
            </w:pPr>
          </w:p>
        </w:tc>
        <w:tc>
          <w:tcPr>
            <w:tcW w:w="1546" w:type="dxa"/>
          </w:tcPr>
          <w:p w14:paraId="54BBAF56" w14:textId="574C4115"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Viglione (2015)</w:t>
            </w:r>
          </w:p>
        </w:tc>
        <w:tc>
          <w:tcPr>
            <w:tcW w:w="2161" w:type="dxa"/>
          </w:tcPr>
          <w:p w14:paraId="3F425FF7" w14:textId="66A6A561"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Quantitative</w:t>
            </w:r>
            <w:r>
              <w:rPr>
                <w:rFonts w:asciiTheme="majorHAnsi" w:hAnsiTheme="majorHAnsi" w:cs="Arial"/>
                <w:sz w:val="16"/>
                <w:szCs w:val="16"/>
              </w:rPr>
              <w:t xml:space="preserve"> – cross Country</w:t>
            </w:r>
          </w:p>
        </w:tc>
        <w:tc>
          <w:tcPr>
            <w:tcW w:w="4620" w:type="dxa"/>
          </w:tcPr>
          <w:p w14:paraId="70686BE2" w14:textId="7F14BDBB" w:rsidR="00C96753" w:rsidRPr="00135E51" w:rsidRDefault="00C96753" w:rsidP="00C96753">
            <w:pPr>
              <w:rPr>
                <w:rFonts w:asciiTheme="majorHAnsi" w:hAnsiTheme="majorHAnsi" w:cs="Arial"/>
                <w:sz w:val="16"/>
                <w:szCs w:val="16"/>
              </w:rPr>
            </w:pPr>
            <w:r>
              <w:rPr>
                <w:rFonts w:asciiTheme="majorHAnsi" w:hAnsiTheme="majorHAnsi" w:cs="Arial"/>
                <w:sz w:val="16"/>
                <w:szCs w:val="16"/>
              </w:rPr>
              <w:t>Countries with capital controls see a “premium” on Bitcoin prices, which authors interpret as extra demand.</w:t>
            </w:r>
          </w:p>
        </w:tc>
      </w:tr>
      <w:tr w:rsidR="00C96753" w14:paraId="0FD29361" w14:textId="77777777" w:rsidTr="00D50D8E">
        <w:trPr>
          <w:trHeight w:val="69"/>
        </w:trPr>
        <w:tc>
          <w:tcPr>
            <w:tcW w:w="1037" w:type="dxa"/>
            <w:vMerge/>
          </w:tcPr>
          <w:p w14:paraId="08934133" w14:textId="77777777" w:rsidR="00C96753" w:rsidRPr="00135E51" w:rsidRDefault="00C96753" w:rsidP="00C96753">
            <w:pPr>
              <w:rPr>
                <w:rFonts w:asciiTheme="majorHAnsi" w:hAnsiTheme="majorHAnsi" w:cs="Arial"/>
                <w:sz w:val="16"/>
                <w:szCs w:val="16"/>
              </w:rPr>
            </w:pPr>
          </w:p>
        </w:tc>
        <w:tc>
          <w:tcPr>
            <w:tcW w:w="1551" w:type="dxa"/>
            <w:vMerge/>
          </w:tcPr>
          <w:p w14:paraId="1438FE86" w14:textId="77777777" w:rsidR="00C96753" w:rsidRPr="00135E51" w:rsidRDefault="00C96753" w:rsidP="00C96753">
            <w:pPr>
              <w:rPr>
                <w:rFonts w:asciiTheme="majorHAnsi" w:hAnsiTheme="majorHAnsi" w:cs="Arial"/>
                <w:sz w:val="16"/>
                <w:szCs w:val="16"/>
              </w:rPr>
            </w:pPr>
          </w:p>
        </w:tc>
        <w:tc>
          <w:tcPr>
            <w:tcW w:w="1546" w:type="dxa"/>
          </w:tcPr>
          <w:p w14:paraId="6989089C" w14:textId="6E7CCEC4"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Hu et al. (2021)</w:t>
            </w:r>
          </w:p>
        </w:tc>
        <w:tc>
          <w:tcPr>
            <w:tcW w:w="2161" w:type="dxa"/>
          </w:tcPr>
          <w:p w14:paraId="491C2FC6" w14:textId="0F62EAF6"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Quantitative</w:t>
            </w:r>
          </w:p>
        </w:tc>
        <w:tc>
          <w:tcPr>
            <w:tcW w:w="4620" w:type="dxa"/>
          </w:tcPr>
          <w:p w14:paraId="5961965F" w14:textId="3FB3258D" w:rsidR="00C96753" w:rsidRPr="00135E51" w:rsidRDefault="00C96753" w:rsidP="00C96753">
            <w:pPr>
              <w:rPr>
                <w:rFonts w:asciiTheme="majorHAnsi" w:hAnsiTheme="majorHAnsi" w:cs="Arial"/>
                <w:sz w:val="16"/>
                <w:szCs w:val="16"/>
              </w:rPr>
            </w:pPr>
            <w:r w:rsidRPr="00135E51">
              <w:rPr>
                <w:rFonts w:asciiTheme="majorHAnsi" w:hAnsiTheme="majorHAnsi" w:cs="Arial"/>
                <w:sz w:val="16"/>
                <w:szCs w:val="16"/>
              </w:rPr>
              <w:t>25% of Bitcoin trading volume in China was capital flight</w:t>
            </w:r>
          </w:p>
        </w:tc>
      </w:tr>
      <w:tr w:rsidR="00C96753" w14:paraId="38A31C1B" w14:textId="77777777" w:rsidTr="00D50D8E">
        <w:trPr>
          <w:trHeight w:val="69"/>
        </w:trPr>
        <w:tc>
          <w:tcPr>
            <w:tcW w:w="1037" w:type="dxa"/>
            <w:vMerge/>
          </w:tcPr>
          <w:p w14:paraId="61DD3D7F" w14:textId="77777777" w:rsidR="00C96753" w:rsidRPr="00135E51" w:rsidRDefault="00C96753" w:rsidP="00C96753">
            <w:pPr>
              <w:rPr>
                <w:rFonts w:asciiTheme="majorHAnsi" w:hAnsiTheme="majorHAnsi" w:cs="Arial"/>
                <w:sz w:val="16"/>
                <w:szCs w:val="16"/>
              </w:rPr>
            </w:pPr>
          </w:p>
        </w:tc>
        <w:tc>
          <w:tcPr>
            <w:tcW w:w="1551" w:type="dxa"/>
            <w:vMerge/>
          </w:tcPr>
          <w:p w14:paraId="7F8D1084" w14:textId="77777777" w:rsidR="00C96753" w:rsidRPr="00135E51" w:rsidRDefault="00C96753" w:rsidP="00C96753">
            <w:pPr>
              <w:rPr>
                <w:rFonts w:asciiTheme="majorHAnsi" w:hAnsiTheme="majorHAnsi" w:cs="Arial"/>
                <w:sz w:val="16"/>
                <w:szCs w:val="16"/>
              </w:rPr>
            </w:pPr>
          </w:p>
        </w:tc>
        <w:tc>
          <w:tcPr>
            <w:tcW w:w="1546" w:type="dxa"/>
          </w:tcPr>
          <w:p w14:paraId="61BFA0EC" w14:textId="350255F2" w:rsidR="00C96753" w:rsidRPr="00135E51" w:rsidRDefault="00C96753" w:rsidP="00C96753">
            <w:pPr>
              <w:rPr>
                <w:rFonts w:asciiTheme="majorHAnsi" w:hAnsiTheme="majorHAnsi" w:cs="Arial"/>
                <w:sz w:val="16"/>
                <w:szCs w:val="16"/>
              </w:rPr>
            </w:pPr>
            <w:proofErr w:type="spellStart"/>
            <w:r w:rsidRPr="00E1746E">
              <w:rPr>
                <w:rFonts w:asciiTheme="majorHAnsi" w:hAnsiTheme="majorHAnsi" w:cs="Arial"/>
                <w:sz w:val="16"/>
                <w:szCs w:val="16"/>
              </w:rPr>
              <w:t>Alnasaa</w:t>
            </w:r>
            <w:proofErr w:type="spellEnd"/>
            <w:r>
              <w:rPr>
                <w:rFonts w:asciiTheme="majorHAnsi" w:hAnsiTheme="majorHAnsi" w:cs="Arial"/>
                <w:sz w:val="16"/>
                <w:szCs w:val="16"/>
              </w:rPr>
              <w:t xml:space="preserve"> et al. (2022)</w:t>
            </w:r>
          </w:p>
        </w:tc>
        <w:tc>
          <w:tcPr>
            <w:tcW w:w="2161" w:type="dxa"/>
          </w:tcPr>
          <w:p w14:paraId="0F8D5913" w14:textId="5C367D60" w:rsidR="00C96753" w:rsidRPr="00135E51" w:rsidRDefault="00C96753" w:rsidP="00C96753">
            <w:pPr>
              <w:rPr>
                <w:rFonts w:asciiTheme="majorHAnsi" w:hAnsiTheme="majorHAnsi" w:cs="Arial"/>
                <w:sz w:val="16"/>
                <w:szCs w:val="16"/>
              </w:rPr>
            </w:pPr>
            <w:r>
              <w:rPr>
                <w:rFonts w:asciiTheme="majorHAnsi" w:hAnsiTheme="majorHAnsi" w:cs="Arial"/>
                <w:sz w:val="16"/>
                <w:szCs w:val="16"/>
              </w:rPr>
              <w:t>Quantitative – cross country</w:t>
            </w:r>
          </w:p>
        </w:tc>
        <w:tc>
          <w:tcPr>
            <w:tcW w:w="4620" w:type="dxa"/>
          </w:tcPr>
          <w:p w14:paraId="3C9EF17D" w14:textId="49AB49FB" w:rsidR="00C96753" w:rsidRPr="00135E51" w:rsidRDefault="00C96753" w:rsidP="00C96753">
            <w:pPr>
              <w:rPr>
                <w:rFonts w:asciiTheme="majorHAnsi" w:hAnsiTheme="majorHAnsi" w:cs="Arial"/>
                <w:sz w:val="16"/>
                <w:szCs w:val="16"/>
              </w:rPr>
            </w:pPr>
            <w:r>
              <w:rPr>
                <w:rFonts w:asciiTheme="majorHAnsi" w:hAnsiTheme="majorHAnsi" w:cs="Arial"/>
                <w:sz w:val="16"/>
                <w:szCs w:val="16"/>
              </w:rPr>
              <w:t>Capital controls are positively correlated to cryptocurrency adoption</w:t>
            </w:r>
          </w:p>
        </w:tc>
      </w:tr>
    </w:tbl>
    <w:p w14:paraId="7C99E415" w14:textId="77777777" w:rsidR="005609F5" w:rsidRDefault="005609F5"/>
    <w:p w14:paraId="0F70CD6C" w14:textId="77777777" w:rsidR="00A41394" w:rsidRDefault="00A41394"/>
    <w:p w14:paraId="184744DA" w14:textId="77777777" w:rsidR="00A41394" w:rsidRDefault="00A41394"/>
    <w:p w14:paraId="21EBC912" w14:textId="77777777" w:rsidR="00A41394" w:rsidRDefault="00A41394"/>
    <w:p w14:paraId="1DD05F38" w14:textId="77777777" w:rsidR="00754097" w:rsidRDefault="00754097"/>
    <w:p w14:paraId="37AEC5E7" w14:textId="77777777" w:rsidR="00754097" w:rsidRDefault="00754097"/>
    <w:p w14:paraId="423A4675" w14:textId="77777777" w:rsidR="00754097" w:rsidRDefault="00754097"/>
    <w:p w14:paraId="389FC050" w14:textId="77777777" w:rsidR="00754097" w:rsidRDefault="00754097"/>
    <w:p w14:paraId="46D1087D" w14:textId="74020AEC" w:rsidR="00754097" w:rsidRDefault="00B12A5C">
      <w:r>
        <w:t xml:space="preserve">Predictors of Currency </w:t>
      </w:r>
      <w:proofErr w:type="spellStart"/>
      <w:r>
        <w:t>Substition</w:t>
      </w:r>
      <w:proofErr w:type="spellEnd"/>
    </w:p>
    <w:tbl>
      <w:tblPr>
        <w:tblStyle w:val="TableGrid"/>
        <w:tblW w:w="10915" w:type="dxa"/>
        <w:tblInd w:w="-714" w:type="dxa"/>
        <w:tblLook w:val="04A0" w:firstRow="1" w:lastRow="0" w:firstColumn="1" w:lastColumn="0" w:noHBand="0" w:noVBand="1"/>
      </w:tblPr>
      <w:tblGrid>
        <w:gridCol w:w="1135"/>
        <w:gridCol w:w="1701"/>
        <w:gridCol w:w="1784"/>
        <w:gridCol w:w="1721"/>
        <w:gridCol w:w="4574"/>
      </w:tblGrid>
      <w:tr w:rsidR="00F53743" w:rsidRPr="00135E51" w14:paraId="7962D465" w14:textId="77777777" w:rsidTr="00CA6320">
        <w:trPr>
          <w:trHeight w:val="287"/>
        </w:trPr>
        <w:tc>
          <w:tcPr>
            <w:tcW w:w="1135" w:type="dxa"/>
          </w:tcPr>
          <w:p w14:paraId="15F2C493" w14:textId="77777777" w:rsidR="00F53743" w:rsidRPr="00135E51" w:rsidRDefault="00F53743" w:rsidP="00CA6320">
            <w:pPr>
              <w:ind w:left="-827" w:firstLine="827"/>
              <w:rPr>
                <w:rFonts w:asciiTheme="majorHAnsi" w:hAnsiTheme="majorHAnsi" w:cs="Arial"/>
              </w:rPr>
            </w:pPr>
            <w:r w:rsidRPr="00135E51">
              <w:rPr>
                <w:rFonts w:asciiTheme="majorHAnsi" w:hAnsiTheme="majorHAnsi" w:cs="Arial"/>
              </w:rPr>
              <w:t>Theme</w:t>
            </w:r>
          </w:p>
        </w:tc>
        <w:tc>
          <w:tcPr>
            <w:tcW w:w="1701" w:type="dxa"/>
          </w:tcPr>
          <w:p w14:paraId="1D6C049C" w14:textId="77777777" w:rsidR="00F53743" w:rsidRPr="00135E51" w:rsidRDefault="00F53743" w:rsidP="00CA1AA5">
            <w:pPr>
              <w:rPr>
                <w:rFonts w:asciiTheme="majorHAnsi" w:hAnsiTheme="majorHAnsi" w:cs="Arial"/>
              </w:rPr>
            </w:pPr>
            <w:r w:rsidRPr="00135E51">
              <w:rPr>
                <w:rFonts w:asciiTheme="majorHAnsi" w:hAnsiTheme="majorHAnsi" w:cs="Arial"/>
              </w:rPr>
              <w:t>Viewpoint</w:t>
            </w:r>
          </w:p>
        </w:tc>
        <w:tc>
          <w:tcPr>
            <w:tcW w:w="1784" w:type="dxa"/>
          </w:tcPr>
          <w:p w14:paraId="53F999E8" w14:textId="77777777" w:rsidR="00F53743" w:rsidRPr="00135E51" w:rsidRDefault="00F53743" w:rsidP="00CA1AA5">
            <w:pPr>
              <w:rPr>
                <w:rFonts w:asciiTheme="majorHAnsi" w:hAnsiTheme="majorHAnsi" w:cs="Arial"/>
              </w:rPr>
            </w:pPr>
            <w:r w:rsidRPr="00135E51">
              <w:rPr>
                <w:rFonts w:asciiTheme="majorHAnsi" w:hAnsiTheme="majorHAnsi" w:cs="Arial"/>
              </w:rPr>
              <w:t>Author</w:t>
            </w:r>
          </w:p>
        </w:tc>
        <w:tc>
          <w:tcPr>
            <w:tcW w:w="1721" w:type="dxa"/>
          </w:tcPr>
          <w:p w14:paraId="29922CD4" w14:textId="77777777" w:rsidR="00F53743" w:rsidRPr="00135E51" w:rsidRDefault="00F53743" w:rsidP="00CA1AA5">
            <w:pPr>
              <w:rPr>
                <w:rFonts w:asciiTheme="majorHAnsi" w:hAnsiTheme="majorHAnsi" w:cs="Arial"/>
              </w:rPr>
            </w:pPr>
            <w:r w:rsidRPr="00135E51">
              <w:rPr>
                <w:rFonts w:asciiTheme="majorHAnsi" w:hAnsiTheme="majorHAnsi" w:cs="Arial"/>
              </w:rPr>
              <w:t>Methods</w:t>
            </w:r>
          </w:p>
        </w:tc>
        <w:tc>
          <w:tcPr>
            <w:tcW w:w="4574" w:type="dxa"/>
          </w:tcPr>
          <w:p w14:paraId="67CE88CB" w14:textId="77777777" w:rsidR="00F53743" w:rsidRPr="00135E51" w:rsidRDefault="00F53743" w:rsidP="00CA1AA5">
            <w:pPr>
              <w:rPr>
                <w:rFonts w:asciiTheme="majorHAnsi" w:hAnsiTheme="majorHAnsi" w:cs="Arial"/>
              </w:rPr>
            </w:pPr>
            <w:r w:rsidRPr="00135E51">
              <w:rPr>
                <w:rFonts w:asciiTheme="majorHAnsi" w:hAnsiTheme="majorHAnsi" w:cs="Arial"/>
              </w:rPr>
              <w:t>Concrete Findings</w:t>
            </w:r>
          </w:p>
        </w:tc>
      </w:tr>
      <w:tr w:rsidR="00C24AC5" w:rsidRPr="00135E51" w14:paraId="766AABE6" w14:textId="77777777" w:rsidTr="00CA6320">
        <w:trPr>
          <w:trHeight w:val="645"/>
        </w:trPr>
        <w:tc>
          <w:tcPr>
            <w:tcW w:w="1135" w:type="dxa"/>
            <w:vMerge w:val="restart"/>
            <w:vAlign w:val="center"/>
          </w:tcPr>
          <w:p w14:paraId="5F7B222C" w14:textId="77777777" w:rsidR="00C24AC5" w:rsidRPr="00135E51" w:rsidRDefault="00C24AC5" w:rsidP="00CA1AA5">
            <w:pPr>
              <w:rPr>
                <w:rFonts w:asciiTheme="majorHAnsi" w:hAnsiTheme="majorHAnsi" w:cs="Arial"/>
                <w:sz w:val="16"/>
                <w:szCs w:val="16"/>
              </w:rPr>
            </w:pPr>
            <w:r w:rsidRPr="00135E51">
              <w:rPr>
                <w:rFonts w:asciiTheme="majorHAnsi" w:hAnsiTheme="majorHAnsi" w:cs="Arial"/>
                <w:sz w:val="16"/>
                <w:szCs w:val="16"/>
              </w:rPr>
              <w:t>Inflation</w:t>
            </w:r>
          </w:p>
        </w:tc>
        <w:tc>
          <w:tcPr>
            <w:tcW w:w="1701" w:type="dxa"/>
            <w:vMerge w:val="restart"/>
            <w:vAlign w:val="center"/>
          </w:tcPr>
          <w:p w14:paraId="11DAD904" w14:textId="39E73505" w:rsidR="00C24AC5" w:rsidRPr="00135E51" w:rsidRDefault="00C24AC5" w:rsidP="00CA1AA5">
            <w:pPr>
              <w:rPr>
                <w:rFonts w:asciiTheme="majorHAnsi" w:hAnsiTheme="majorHAnsi" w:cs="Arial"/>
                <w:sz w:val="16"/>
                <w:szCs w:val="16"/>
              </w:rPr>
            </w:pPr>
            <w:r w:rsidRPr="00135E51">
              <w:rPr>
                <w:rFonts w:asciiTheme="majorHAnsi" w:hAnsiTheme="majorHAnsi" w:cs="Arial"/>
                <w:sz w:val="16"/>
                <w:szCs w:val="16"/>
              </w:rPr>
              <w:t xml:space="preserve">Inflation positively </w:t>
            </w:r>
            <w:r w:rsidR="00A61C9B">
              <w:rPr>
                <w:rFonts w:asciiTheme="majorHAnsi" w:hAnsiTheme="majorHAnsi" w:cs="Arial"/>
                <w:sz w:val="16"/>
                <w:szCs w:val="16"/>
              </w:rPr>
              <w:t>affects</w:t>
            </w:r>
            <w:r w:rsidRPr="00135E51">
              <w:rPr>
                <w:rFonts w:asciiTheme="majorHAnsi" w:hAnsiTheme="majorHAnsi" w:cs="Arial"/>
                <w:sz w:val="16"/>
                <w:szCs w:val="16"/>
              </w:rPr>
              <w:t xml:space="preserve"> </w:t>
            </w:r>
            <w:r>
              <w:rPr>
                <w:rFonts w:asciiTheme="majorHAnsi" w:hAnsiTheme="majorHAnsi" w:cs="Arial"/>
                <w:sz w:val="16"/>
                <w:szCs w:val="16"/>
              </w:rPr>
              <w:t>currency substitution</w:t>
            </w:r>
          </w:p>
        </w:tc>
        <w:tc>
          <w:tcPr>
            <w:tcW w:w="1784" w:type="dxa"/>
          </w:tcPr>
          <w:p w14:paraId="13C41891" w14:textId="71D290C9" w:rsidR="00C24AC5" w:rsidRPr="00135E51" w:rsidRDefault="00C24AC5" w:rsidP="00CA1AA5">
            <w:pPr>
              <w:rPr>
                <w:rFonts w:asciiTheme="majorHAnsi" w:hAnsiTheme="majorHAnsi" w:cs="Arial"/>
                <w:sz w:val="16"/>
                <w:szCs w:val="16"/>
              </w:rPr>
            </w:pPr>
            <w:r>
              <w:rPr>
                <w:rFonts w:asciiTheme="majorHAnsi" w:hAnsiTheme="majorHAnsi" w:cs="Arial"/>
                <w:sz w:val="16"/>
                <w:szCs w:val="16"/>
              </w:rPr>
              <w:t>Vieira et al. (2012)</w:t>
            </w:r>
          </w:p>
        </w:tc>
        <w:tc>
          <w:tcPr>
            <w:tcW w:w="1721" w:type="dxa"/>
          </w:tcPr>
          <w:p w14:paraId="64EF294C" w14:textId="57AEF989" w:rsidR="00C24AC5" w:rsidRPr="00135E51" w:rsidRDefault="00C24AC5" w:rsidP="00CA1AA5">
            <w:pPr>
              <w:rPr>
                <w:rFonts w:asciiTheme="majorHAnsi" w:hAnsiTheme="majorHAnsi" w:cs="Arial"/>
                <w:sz w:val="16"/>
                <w:szCs w:val="16"/>
              </w:rPr>
            </w:pPr>
            <w:r>
              <w:rPr>
                <w:rFonts w:asciiTheme="majorHAnsi" w:hAnsiTheme="majorHAnsi" w:cs="Arial"/>
                <w:sz w:val="16"/>
                <w:szCs w:val="16"/>
              </w:rPr>
              <w:t>Quantitative panel data study of 72 economies</w:t>
            </w:r>
          </w:p>
        </w:tc>
        <w:tc>
          <w:tcPr>
            <w:tcW w:w="4574" w:type="dxa"/>
          </w:tcPr>
          <w:p w14:paraId="46103268" w14:textId="1B13FFB5" w:rsidR="00C24AC5" w:rsidRPr="00135E51" w:rsidRDefault="00C24AC5" w:rsidP="00CA1AA5">
            <w:pPr>
              <w:rPr>
                <w:rFonts w:asciiTheme="majorHAnsi" w:hAnsiTheme="majorHAnsi" w:cs="Arial"/>
                <w:sz w:val="16"/>
                <w:szCs w:val="16"/>
              </w:rPr>
            </w:pPr>
            <w:r>
              <w:rPr>
                <w:rFonts w:asciiTheme="majorHAnsi" w:hAnsiTheme="majorHAnsi" w:cs="Arial"/>
                <w:sz w:val="16"/>
                <w:szCs w:val="16"/>
              </w:rPr>
              <w:t xml:space="preserve">Inflation is a predictor of currency </w:t>
            </w:r>
            <w:r w:rsidR="006A0225">
              <w:rPr>
                <w:rFonts w:asciiTheme="majorHAnsi" w:hAnsiTheme="majorHAnsi" w:cs="Arial"/>
                <w:sz w:val="16"/>
                <w:szCs w:val="16"/>
              </w:rPr>
              <w:t>substitution</w:t>
            </w:r>
            <w:r w:rsidR="00D00AC7">
              <w:rPr>
                <w:rFonts w:asciiTheme="majorHAnsi" w:hAnsiTheme="majorHAnsi" w:cs="Arial"/>
                <w:sz w:val="16"/>
                <w:szCs w:val="16"/>
              </w:rPr>
              <w:t>;</w:t>
            </w:r>
            <w:r>
              <w:rPr>
                <w:rFonts w:asciiTheme="majorHAnsi" w:hAnsiTheme="majorHAnsi" w:cs="Arial"/>
                <w:sz w:val="16"/>
                <w:szCs w:val="16"/>
              </w:rPr>
              <w:t xml:space="preserve"> however</w:t>
            </w:r>
            <w:r w:rsidR="00D00AC7">
              <w:rPr>
                <w:rFonts w:asciiTheme="majorHAnsi" w:hAnsiTheme="majorHAnsi" w:cs="Arial"/>
                <w:sz w:val="16"/>
                <w:szCs w:val="16"/>
              </w:rPr>
              <w:t>,</w:t>
            </w:r>
            <w:r>
              <w:rPr>
                <w:rFonts w:asciiTheme="majorHAnsi" w:hAnsiTheme="majorHAnsi" w:cs="Arial"/>
                <w:sz w:val="16"/>
                <w:szCs w:val="16"/>
              </w:rPr>
              <w:t xml:space="preserve"> the risk of sovereign default was an even stronger predictor.</w:t>
            </w:r>
          </w:p>
        </w:tc>
      </w:tr>
      <w:tr w:rsidR="00C24AC5" w:rsidRPr="00135E51" w14:paraId="3CFD5D67" w14:textId="77777777" w:rsidTr="00CA6320">
        <w:trPr>
          <w:trHeight w:val="157"/>
        </w:trPr>
        <w:tc>
          <w:tcPr>
            <w:tcW w:w="1135" w:type="dxa"/>
            <w:vMerge/>
            <w:vAlign w:val="center"/>
          </w:tcPr>
          <w:p w14:paraId="75519AE0" w14:textId="77777777" w:rsidR="00C24AC5" w:rsidRPr="00135E51" w:rsidRDefault="00C24AC5" w:rsidP="00CA1AA5">
            <w:pPr>
              <w:rPr>
                <w:rFonts w:asciiTheme="majorHAnsi" w:hAnsiTheme="majorHAnsi" w:cs="Arial"/>
                <w:sz w:val="16"/>
                <w:szCs w:val="16"/>
              </w:rPr>
            </w:pPr>
          </w:p>
        </w:tc>
        <w:tc>
          <w:tcPr>
            <w:tcW w:w="1701" w:type="dxa"/>
            <w:vMerge/>
            <w:vAlign w:val="center"/>
          </w:tcPr>
          <w:p w14:paraId="56AF7B2F" w14:textId="77777777" w:rsidR="00C24AC5" w:rsidRPr="00135E51" w:rsidRDefault="00C24AC5" w:rsidP="00CA1AA5">
            <w:pPr>
              <w:rPr>
                <w:rFonts w:asciiTheme="majorHAnsi" w:hAnsiTheme="majorHAnsi" w:cs="Arial"/>
                <w:sz w:val="16"/>
                <w:szCs w:val="16"/>
              </w:rPr>
            </w:pPr>
          </w:p>
        </w:tc>
        <w:tc>
          <w:tcPr>
            <w:tcW w:w="1784" w:type="dxa"/>
          </w:tcPr>
          <w:p w14:paraId="2515A500" w14:textId="55CDBD7B" w:rsidR="00C24AC5" w:rsidRPr="00135E51" w:rsidRDefault="00C24AC5" w:rsidP="00CA1AA5">
            <w:pPr>
              <w:rPr>
                <w:rFonts w:asciiTheme="majorHAnsi" w:hAnsiTheme="majorHAnsi" w:cs="Arial"/>
                <w:sz w:val="16"/>
                <w:szCs w:val="16"/>
              </w:rPr>
            </w:pPr>
            <w:r>
              <w:rPr>
                <w:rFonts w:asciiTheme="majorHAnsi" w:hAnsiTheme="majorHAnsi" w:cs="Arial"/>
                <w:sz w:val="16"/>
                <w:szCs w:val="16"/>
              </w:rPr>
              <w:t xml:space="preserve">Rennhack </w:t>
            </w:r>
            <w:r w:rsidR="00E247B6">
              <w:rPr>
                <w:rFonts w:asciiTheme="majorHAnsi" w:hAnsiTheme="majorHAnsi" w:cs="Arial"/>
                <w:sz w:val="16"/>
                <w:szCs w:val="16"/>
              </w:rPr>
              <w:t>&amp;</w:t>
            </w:r>
            <w:r>
              <w:rPr>
                <w:rFonts w:asciiTheme="majorHAnsi" w:hAnsiTheme="majorHAnsi" w:cs="Arial"/>
                <w:sz w:val="16"/>
                <w:szCs w:val="16"/>
              </w:rPr>
              <w:t xml:space="preserve"> Nozaki (2006)</w:t>
            </w:r>
          </w:p>
        </w:tc>
        <w:tc>
          <w:tcPr>
            <w:tcW w:w="1721" w:type="dxa"/>
          </w:tcPr>
          <w:p w14:paraId="4A67AC31" w14:textId="7ED5E005" w:rsidR="00C24AC5" w:rsidRPr="00135E51" w:rsidRDefault="00C24AC5" w:rsidP="00CA1AA5">
            <w:pPr>
              <w:rPr>
                <w:rFonts w:asciiTheme="majorHAnsi" w:hAnsiTheme="majorHAnsi" w:cs="Arial"/>
                <w:sz w:val="16"/>
                <w:szCs w:val="16"/>
              </w:rPr>
            </w:pPr>
            <w:r>
              <w:rPr>
                <w:rFonts w:asciiTheme="majorHAnsi" w:hAnsiTheme="majorHAnsi" w:cs="Arial"/>
                <w:sz w:val="16"/>
                <w:szCs w:val="16"/>
              </w:rPr>
              <w:t>Quantitative panel data study of 62 economies</w:t>
            </w:r>
          </w:p>
        </w:tc>
        <w:tc>
          <w:tcPr>
            <w:tcW w:w="4574" w:type="dxa"/>
          </w:tcPr>
          <w:p w14:paraId="0645C0AD" w14:textId="40F4CD83" w:rsidR="00C24AC5" w:rsidRPr="00135E51" w:rsidRDefault="00C24AC5" w:rsidP="00CA1AA5">
            <w:pPr>
              <w:rPr>
                <w:rFonts w:asciiTheme="majorHAnsi" w:hAnsiTheme="majorHAnsi" w:cs="Arial"/>
                <w:sz w:val="16"/>
                <w:szCs w:val="16"/>
              </w:rPr>
            </w:pPr>
            <w:r>
              <w:rPr>
                <w:rFonts w:asciiTheme="majorHAnsi" w:hAnsiTheme="majorHAnsi" w:cs="Arial"/>
                <w:sz w:val="16"/>
                <w:szCs w:val="16"/>
              </w:rPr>
              <w:t xml:space="preserve">Currency </w:t>
            </w:r>
            <w:r w:rsidR="006A0225">
              <w:rPr>
                <w:rFonts w:asciiTheme="majorHAnsi" w:hAnsiTheme="majorHAnsi" w:cs="Arial"/>
                <w:sz w:val="16"/>
                <w:szCs w:val="16"/>
              </w:rPr>
              <w:t xml:space="preserve">substitution </w:t>
            </w:r>
            <w:r>
              <w:rPr>
                <w:rFonts w:asciiTheme="majorHAnsi" w:hAnsiTheme="majorHAnsi" w:cs="Arial"/>
                <w:sz w:val="16"/>
                <w:szCs w:val="16"/>
              </w:rPr>
              <w:t>is a response to inflation, currency depreciation</w:t>
            </w:r>
            <w:r w:rsidR="00D00AC7">
              <w:rPr>
                <w:rFonts w:asciiTheme="majorHAnsi" w:hAnsiTheme="majorHAnsi" w:cs="Arial"/>
                <w:sz w:val="16"/>
                <w:szCs w:val="16"/>
              </w:rPr>
              <w:t>.</w:t>
            </w:r>
            <w:r>
              <w:rPr>
                <w:rFonts w:asciiTheme="majorHAnsi" w:hAnsiTheme="majorHAnsi" w:cs="Arial"/>
                <w:sz w:val="16"/>
                <w:szCs w:val="16"/>
              </w:rPr>
              <w:t xml:space="preserve"> </w:t>
            </w:r>
          </w:p>
        </w:tc>
      </w:tr>
      <w:tr w:rsidR="00C24AC5" w:rsidRPr="00135E51" w14:paraId="5C110437" w14:textId="77777777" w:rsidTr="00CA6320">
        <w:trPr>
          <w:trHeight w:val="867"/>
        </w:trPr>
        <w:tc>
          <w:tcPr>
            <w:tcW w:w="1135" w:type="dxa"/>
            <w:vMerge/>
            <w:vAlign w:val="center"/>
          </w:tcPr>
          <w:p w14:paraId="5EF506DE" w14:textId="77777777" w:rsidR="00C24AC5" w:rsidRPr="00135E51" w:rsidRDefault="00C24AC5" w:rsidP="00CA1AA5">
            <w:pPr>
              <w:rPr>
                <w:rFonts w:asciiTheme="majorHAnsi" w:hAnsiTheme="majorHAnsi" w:cs="Arial"/>
                <w:sz w:val="16"/>
                <w:szCs w:val="16"/>
              </w:rPr>
            </w:pPr>
          </w:p>
        </w:tc>
        <w:tc>
          <w:tcPr>
            <w:tcW w:w="1701" w:type="dxa"/>
            <w:vMerge/>
            <w:vAlign w:val="center"/>
          </w:tcPr>
          <w:p w14:paraId="7915534E" w14:textId="77777777" w:rsidR="00C24AC5" w:rsidRPr="00135E51" w:rsidRDefault="00C24AC5" w:rsidP="00CA1AA5">
            <w:pPr>
              <w:rPr>
                <w:rFonts w:asciiTheme="majorHAnsi" w:hAnsiTheme="majorHAnsi" w:cs="Arial"/>
                <w:sz w:val="16"/>
                <w:szCs w:val="16"/>
              </w:rPr>
            </w:pPr>
          </w:p>
        </w:tc>
        <w:tc>
          <w:tcPr>
            <w:tcW w:w="1784" w:type="dxa"/>
          </w:tcPr>
          <w:p w14:paraId="4229BD50" w14:textId="520E0C94" w:rsidR="00C24AC5" w:rsidRPr="00135E51" w:rsidRDefault="00C24AC5" w:rsidP="00CA1AA5">
            <w:pPr>
              <w:rPr>
                <w:rFonts w:asciiTheme="majorHAnsi" w:hAnsiTheme="majorHAnsi" w:cs="Arial"/>
                <w:sz w:val="16"/>
                <w:szCs w:val="16"/>
              </w:rPr>
            </w:pPr>
            <w:r>
              <w:rPr>
                <w:rFonts w:asciiTheme="majorHAnsi" w:hAnsiTheme="majorHAnsi" w:cs="Arial"/>
                <w:sz w:val="16"/>
                <w:szCs w:val="16"/>
              </w:rPr>
              <w:t>Honig (2009)</w:t>
            </w:r>
          </w:p>
        </w:tc>
        <w:tc>
          <w:tcPr>
            <w:tcW w:w="1721" w:type="dxa"/>
          </w:tcPr>
          <w:p w14:paraId="56508825" w14:textId="7BA6B34C" w:rsidR="00C24AC5" w:rsidRPr="00135E51" w:rsidRDefault="00C24AC5" w:rsidP="00CA1AA5">
            <w:pPr>
              <w:rPr>
                <w:rFonts w:asciiTheme="majorHAnsi" w:hAnsiTheme="majorHAnsi" w:cs="Arial"/>
                <w:sz w:val="16"/>
                <w:szCs w:val="16"/>
              </w:rPr>
            </w:pPr>
            <w:r>
              <w:rPr>
                <w:rFonts w:asciiTheme="majorHAnsi" w:hAnsiTheme="majorHAnsi" w:cs="Arial"/>
                <w:sz w:val="16"/>
                <w:szCs w:val="16"/>
              </w:rPr>
              <w:t>Quantitative study of 66 – 92 (depending on model) countries</w:t>
            </w:r>
          </w:p>
        </w:tc>
        <w:tc>
          <w:tcPr>
            <w:tcW w:w="4574" w:type="dxa"/>
          </w:tcPr>
          <w:p w14:paraId="6A83C45D" w14:textId="520C1925" w:rsidR="00C24AC5" w:rsidRPr="00135E51" w:rsidRDefault="00C24AC5" w:rsidP="00CA1AA5">
            <w:pPr>
              <w:rPr>
                <w:rFonts w:asciiTheme="majorHAnsi" w:hAnsiTheme="majorHAnsi" w:cs="Arial"/>
                <w:sz w:val="16"/>
                <w:szCs w:val="16"/>
              </w:rPr>
            </w:pPr>
            <w:r>
              <w:rPr>
                <w:rFonts w:asciiTheme="majorHAnsi" w:hAnsiTheme="majorHAnsi" w:cs="Arial"/>
                <w:sz w:val="16"/>
                <w:szCs w:val="16"/>
              </w:rPr>
              <w:t>Lack of trust in the stability of the local currency increases currency substitution.</w:t>
            </w:r>
          </w:p>
        </w:tc>
      </w:tr>
      <w:tr w:rsidR="00C24AC5" w:rsidRPr="00135E51" w14:paraId="1FC2A5E1" w14:textId="77777777" w:rsidTr="00CA6320">
        <w:trPr>
          <w:trHeight w:val="867"/>
        </w:trPr>
        <w:tc>
          <w:tcPr>
            <w:tcW w:w="1135" w:type="dxa"/>
            <w:vMerge/>
            <w:vAlign w:val="center"/>
          </w:tcPr>
          <w:p w14:paraId="5C5ABAE5" w14:textId="77777777" w:rsidR="00C24AC5" w:rsidRPr="00135E51" w:rsidRDefault="00C24AC5" w:rsidP="00CA1AA5">
            <w:pPr>
              <w:rPr>
                <w:rFonts w:asciiTheme="majorHAnsi" w:hAnsiTheme="majorHAnsi" w:cs="Arial"/>
                <w:sz w:val="16"/>
                <w:szCs w:val="16"/>
              </w:rPr>
            </w:pPr>
          </w:p>
        </w:tc>
        <w:tc>
          <w:tcPr>
            <w:tcW w:w="1701" w:type="dxa"/>
            <w:vMerge/>
            <w:vAlign w:val="center"/>
          </w:tcPr>
          <w:p w14:paraId="1FC0C619" w14:textId="77777777" w:rsidR="00C24AC5" w:rsidRPr="00135E51" w:rsidRDefault="00C24AC5" w:rsidP="00CA1AA5">
            <w:pPr>
              <w:rPr>
                <w:rFonts w:asciiTheme="majorHAnsi" w:hAnsiTheme="majorHAnsi" w:cs="Arial"/>
                <w:sz w:val="16"/>
                <w:szCs w:val="16"/>
              </w:rPr>
            </w:pPr>
          </w:p>
        </w:tc>
        <w:tc>
          <w:tcPr>
            <w:tcW w:w="1784" w:type="dxa"/>
          </w:tcPr>
          <w:p w14:paraId="417C7DEE" w14:textId="73FB8645" w:rsidR="00C24AC5" w:rsidRDefault="00C24AC5" w:rsidP="00CA1AA5">
            <w:pPr>
              <w:rPr>
                <w:rFonts w:asciiTheme="majorHAnsi" w:hAnsiTheme="majorHAnsi" w:cs="Arial"/>
                <w:sz w:val="16"/>
                <w:szCs w:val="16"/>
              </w:rPr>
            </w:pPr>
            <w:proofErr w:type="spellStart"/>
            <w:r>
              <w:rPr>
                <w:rFonts w:asciiTheme="majorHAnsi" w:hAnsiTheme="majorHAnsi" w:cs="Arial"/>
                <w:sz w:val="16"/>
                <w:szCs w:val="16"/>
              </w:rPr>
              <w:t>Koke</w:t>
            </w:r>
            <w:r w:rsidR="002255ED">
              <w:rPr>
                <w:rFonts w:asciiTheme="majorHAnsi" w:hAnsiTheme="majorHAnsi" w:cs="Arial"/>
                <w:sz w:val="16"/>
                <w:szCs w:val="16"/>
              </w:rPr>
              <w:t>s</w:t>
            </w:r>
            <w:r>
              <w:rPr>
                <w:rFonts w:asciiTheme="majorHAnsi" w:hAnsiTheme="majorHAnsi" w:cs="Arial"/>
                <w:sz w:val="16"/>
                <w:szCs w:val="16"/>
              </w:rPr>
              <w:t>nyne</w:t>
            </w:r>
            <w:proofErr w:type="spellEnd"/>
            <w:r>
              <w:rPr>
                <w:rFonts w:asciiTheme="majorHAnsi" w:hAnsiTheme="majorHAnsi" w:cs="Arial"/>
                <w:sz w:val="16"/>
                <w:szCs w:val="16"/>
              </w:rPr>
              <w:t xml:space="preserve"> et al. (2010)</w:t>
            </w:r>
          </w:p>
        </w:tc>
        <w:tc>
          <w:tcPr>
            <w:tcW w:w="1721" w:type="dxa"/>
          </w:tcPr>
          <w:p w14:paraId="5FF7ECEC" w14:textId="53B83342" w:rsidR="00C24AC5" w:rsidRDefault="00A61C9B" w:rsidP="00CA1AA5">
            <w:pPr>
              <w:rPr>
                <w:rFonts w:asciiTheme="majorHAnsi" w:hAnsiTheme="majorHAnsi" w:cs="Arial"/>
                <w:sz w:val="16"/>
                <w:szCs w:val="16"/>
              </w:rPr>
            </w:pPr>
            <w:r>
              <w:rPr>
                <w:rFonts w:asciiTheme="majorHAnsi" w:hAnsiTheme="majorHAnsi" w:cs="Arial"/>
                <w:sz w:val="16"/>
                <w:szCs w:val="16"/>
              </w:rPr>
              <w:t xml:space="preserve">Literature Review </w:t>
            </w:r>
            <w:r w:rsidR="00D00AC7">
              <w:rPr>
                <w:rFonts w:asciiTheme="majorHAnsi" w:hAnsiTheme="majorHAnsi" w:cs="Arial"/>
                <w:sz w:val="16"/>
                <w:szCs w:val="16"/>
              </w:rPr>
              <w:t xml:space="preserve"> Qualitative</w:t>
            </w:r>
          </w:p>
        </w:tc>
        <w:tc>
          <w:tcPr>
            <w:tcW w:w="4574" w:type="dxa"/>
          </w:tcPr>
          <w:p w14:paraId="4549154B" w14:textId="5DEE445A" w:rsidR="00C24AC5" w:rsidRDefault="00C24AC5" w:rsidP="00CA1AA5">
            <w:pPr>
              <w:rPr>
                <w:rFonts w:asciiTheme="majorHAnsi" w:hAnsiTheme="majorHAnsi" w:cs="Arial"/>
                <w:sz w:val="16"/>
                <w:szCs w:val="16"/>
              </w:rPr>
            </w:pPr>
            <w:r>
              <w:rPr>
                <w:rFonts w:asciiTheme="majorHAnsi" w:hAnsiTheme="majorHAnsi" w:cs="Arial"/>
                <w:sz w:val="16"/>
                <w:szCs w:val="16"/>
              </w:rPr>
              <w:t xml:space="preserve">Countries wishing to stop currency </w:t>
            </w:r>
            <w:r w:rsidR="006A0225">
              <w:rPr>
                <w:rFonts w:asciiTheme="majorHAnsi" w:hAnsiTheme="majorHAnsi" w:cs="Arial"/>
                <w:sz w:val="16"/>
                <w:szCs w:val="16"/>
              </w:rPr>
              <w:t xml:space="preserve">substitution </w:t>
            </w:r>
            <w:r>
              <w:rPr>
                <w:rFonts w:asciiTheme="majorHAnsi" w:hAnsiTheme="majorHAnsi" w:cs="Arial"/>
                <w:sz w:val="16"/>
                <w:szCs w:val="16"/>
              </w:rPr>
              <w:t>should focus on taming inflation.</w:t>
            </w:r>
          </w:p>
        </w:tc>
      </w:tr>
      <w:tr w:rsidR="00C24AC5" w:rsidRPr="00135E51" w14:paraId="56B903C2" w14:textId="77777777" w:rsidTr="00CA6320">
        <w:trPr>
          <w:trHeight w:val="867"/>
        </w:trPr>
        <w:tc>
          <w:tcPr>
            <w:tcW w:w="1135" w:type="dxa"/>
            <w:vMerge/>
            <w:vAlign w:val="center"/>
          </w:tcPr>
          <w:p w14:paraId="5CF2C556" w14:textId="77777777" w:rsidR="00C24AC5" w:rsidRPr="00135E51" w:rsidRDefault="00C24AC5" w:rsidP="00CA1AA5">
            <w:pPr>
              <w:rPr>
                <w:rFonts w:asciiTheme="majorHAnsi" w:hAnsiTheme="majorHAnsi" w:cs="Arial"/>
                <w:sz w:val="16"/>
                <w:szCs w:val="16"/>
              </w:rPr>
            </w:pPr>
          </w:p>
        </w:tc>
        <w:tc>
          <w:tcPr>
            <w:tcW w:w="1701" w:type="dxa"/>
            <w:vMerge/>
            <w:vAlign w:val="center"/>
          </w:tcPr>
          <w:p w14:paraId="6889508D" w14:textId="77777777" w:rsidR="00C24AC5" w:rsidRPr="00135E51" w:rsidRDefault="00C24AC5" w:rsidP="00CA1AA5">
            <w:pPr>
              <w:rPr>
                <w:rFonts w:asciiTheme="majorHAnsi" w:hAnsiTheme="majorHAnsi" w:cs="Arial"/>
                <w:sz w:val="16"/>
                <w:szCs w:val="16"/>
              </w:rPr>
            </w:pPr>
          </w:p>
        </w:tc>
        <w:tc>
          <w:tcPr>
            <w:tcW w:w="1784" w:type="dxa"/>
          </w:tcPr>
          <w:p w14:paraId="76E42908" w14:textId="0F2CD300" w:rsidR="00C24AC5" w:rsidRDefault="00C24AC5" w:rsidP="00CA1AA5">
            <w:pPr>
              <w:rPr>
                <w:rFonts w:asciiTheme="majorHAnsi" w:hAnsiTheme="majorHAnsi" w:cs="Arial"/>
                <w:sz w:val="16"/>
                <w:szCs w:val="16"/>
              </w:rPr>
            </w:pPr>
            <w:proofErr w:type="spellStart"/>
            <w:r w:rsidRPr="005718CC">
              <w:rPr>
                <w:rFonts w:asciiTheme="majorHAnsi" w:hAnsiTheme="majorHAnsi" w:cs="Arial"/>
                <w:sz w:val="16"/>
                <w:szCs w:val="16"/>
              </w:rPr>
              <w:t>Taşseven</w:t>
            </w:r>
            <w:proofErr w:type="spellEnd"/>
            <w:r w:rsidRPr="005718CC">
              <w:rPr>
                <w:rFonts w:asciiTheme="majorHAnsi" w:hAnsiTheme="majorHAnsi" w:cs="Arial"/>
                <w:sz w:val="16"/>
                <w:szCs w:val="16"/>
              </w:rPr>
              <w:t xml:space="preserve"> et al. (2015)</w:t>
            </w:r>
          </w:p>
        </w:tc>
        <w:tc>
          <w:tcPr>
            <w:tcW w:w="1721" w:type="dxa"/>
          </w:tcPr>
          <w:p w14:paraId="2A0702C1" w14:textId="746697F5" w:rsidR="00C24AC5" w:rsidRDefault="00C24AC5" w:rsidP="00CA1AA5">
            <w:pPr>
              <w:rPr>
                <w:rFonts w:asciiTheme="majorHAnsi" w:hAnsiTheme="majorHAnsi" w:cs="Arial"/>
                <w:sz w:val="16"/>
                <w:szCs w:val="16"/>
              </w:rPr>
            </w:pPr>
            <w:r>
              <w:rPr>
                <w:rFonts w:asciiTheme="majorHAnsi" w:hAnsiTheme="majorHAnsi" w:cs="Arial"/>
                <w:sz w:val="16"/>
                <w:szCs w:val="16"/>
              </w:rPr>
              <w:t>Case Study – Turkey</w:t>
            </w:r>
          </w:p>
        </w:tc>
        <w:tc>
          <w:tcPr>
            <w:tcW w:w="4574" w:type="dxa"/>
          </w:tcPr>
          <w:p w14:paraId="6A0180D9" w14:textId="4318447E" w:rsidR="00C24AC5" w:rsidRDefault="00C24AC5" w:rsidP="00CA1AA5">
            <w:pPr>
              <w:rPr>
                <w:rFonts w:asciiTheme="majorHAnsi" w:hAnsiTheme="majorHAnsi" w:cs="Arial"/>
                <w:sz w:val="16"/>
                <w:szCs w:val="16"/>
              </w:rPr>
            </w:pPr>
            <w:r>
              <w:rPr>
                <w:rFonts w:asciiTheme="majorHAnsi" w:hAnsiTheme="majorHAnsi" w:cs="Arial"/>
                <w:sz w:val="16"/>
                <w:szCs w:val="16"/>
              </w:rPr>
              <w:t>Argues foreign currency was used instead of the Lira due to the high inflation.</w:t>
            </w:r>
          </w:p>
        </w:tc>
      </w:tr>
      <w:tr w:rsidR="00C24AC5" w:rsidRPr="00135E51" w14:paraId="64039CD7" w14:textId="77777777" w:rsidTr="00CA6320">
        <w:trPr>
          <w:trHeight w:val="809"/>
        </w:trPr>
        <w:tc>
          <w:tcPr>
            <w:tcW w:w="1135" w:type="dxa"/>
            <w:vMerge/>
            <w:tcBorders>
              <w:bottom w:val="single" w:sz="4" w:space="0" w:color="auto"/>
            </w:tcBorders>
            <w:vAlign w:val="center"/>
          </w:tcPr>
          <w:p w14:paraId="154DD351" w14:textId="77777777" w:rsidR="00C24AC5" w:rsidRPr="00135E51" w:rsidRDefault="00C24AC5" w:rsidP="00CA1AA5">
            <w:pPr>
              <w:rPr>
                <w:rFonts w:asciiTheme="majorHAnsi" w:hAnsiTheme="majorHAnsi" w:cs="Arial"/>
                <w:sz w:val="16"/>
                <w:szCs w:val="16"/>
              </w:rPr>
            </w:pPr>
          </w:p>
        </w:tc>
        <w:tc>
          <w:tcPr>
            <w:tcW w:w="1701" w:type="dxa"/>
            <w:vMerge/>
            <w:tcBorders>
              <w:bottom w:val="single" w:sz="4" w:space="0" w:color="auto"/>
            </w:tcBorders>
            <w:vAlign w:val="center"/>
          </w:tcPr>
          <w:p w14:paraId="65B0962D" w14:textId="77777777" w:rsidR="00C24AC5" w:rsidRPr="00135E51" w:rsidRDefault="00C24AC5" w:rsidP="00CA1AA5">
            <w:pPr>
              <w:rPr>
                <w:rFonts w:asciiTheme="majorHAnsi" w:hAnsiTheme="majorHAnsi" w:cs="Arial"/>
                <w:sz w:val="16"/>
                <w:szCs w:val="16"/>
              </w:rPr>
            </w:pPr>
          </w:p>
        </w:tc>
        <w:tc>
          <w:tcPr>
            <w:tcW w:w="1784" w:type="dxa"/>
            <w:tcBorders>
              <w:bottom w:val="single" w:sz="4" w:space="0" w:color="auto"/>
            </w:tcBorders>
          </w:tcPr>
          <w:p w14:paraId="427E2EB0" w14:textId="612DE2A1" w:rsidR="00C24AC5" w:rsidRDefault="00C24AC5" w:rsidP="00CA1AA5">
            <w:pPr>
              <w:rPr>
                <w:rFonts w:asciiTheme="majorHAnsi" w:hAnsiTheme="majorHAnsi" w:cs="Arial"/>
                <w:sz w:val="16"/>
                <w:szCs w:val="16"/>
              </w:rPr>
            </w:pPr>
            <w:r w:rsidRPr="005718CC">
              <w:rPr>
                <w:rFonts w:asciiTheme="majorHAnsi" w:hAnsiTheme="majorHAnsi" w:cs="Arial"/>
                <w:sz w:val="16"/>
                <w:szCs w:val="16"/>
              </w:rPr>
              <w:t>Levy (2021)</w:t>
            </w:r>
          </w:p>
        </w:tc>
        <w:tc>
          <w:tcPr>
            <w:tcW w:w="1721" w:type="dxa"/>
            <w:tcBorders>
              <w:bottom w:val="single" w:sz="4" w:space="0" w:color="auto"/>
            </w:tcBorders>
          </w:tcPr>
          <w:p w14:paraId="7DD1F6D1" w14:textId="045E947C" w:rsidR="00C24AC5" w:rsidRDefault="00C24AC5" w:rsidP="00CA1AA5">
            <w:pPr>
              <w:rPr>
                <w:rFonts w:asciiTheme="majorHAnsi" w:hAnsiTheme="majorHAnsi" w:cs="Arial"/>
                <w:sz w:val="16"/>
                <w:szCs w:val="16"/>
              </w:rPr>
            </w:pPr>
            <w:r>
              <w:rPr>
                <w:rFonts w:asciiTheme="majorHAnsi" w:hAnsiTheme="majorHAnsi" w:cs="Arial"/>
                <w:sz w:val="16"/>
                <w:szCs w:val="16"/>
              </w:rPr>
              <w:t>Narrative</w:t>
            </w:r>
          </w:p>
        </w:tc>
        <w:tc>
          <w:tcPr>
            <w:tcW w:w="4574" w:type="dxa"/>
            <w:tcBorders>
              <w:bottom w:val="single" w:sz="4" w:space="0" w:color="auto"/>
            </w:tcBorders>
          </w:tcPr>
          <w:p w14:paraId="7AF6AACE" w14:textId="14A44CC6" w:rsidR="00C24AC5" w:rsidRDefault="00C24AC5" w:rsidP="00CA1AA5">
            <w:pPr>
              <w:rPr>
                <w:rFonts w:asciiTheme="majorHAnsi" w:hAnsiTheme="majorHAnsi" w:cs="Arial"/>
                <w:sz w:val="16"/>
                <w:szCs w:val="16"/>
              </w:rPr>
            </w:pPr>
            <w:r>
              <w:rPr>
                <w:rFonts w:asciiTheme="majorHAnsi" w:hAnsiTheme="majorHAnsi" w:cs="Arial"/>
                <w:sz w:val="16"/>
                <w:szCs w:val="16"/>
              </w:rPr>
              <w:t>The author credits the reduction in inflation as the reason behind the success of Latin America’s attempts to reduce inflation.</w:t>
            </w:r>
          </w:p>
        </w:tc>
      </w:tr>
      <w:tr w:rsidR="006A0225" w:rsidRPr="00135E51" w14:paraId="5131EAAF" w14:textId="77777777" w:rsidTr="00CA6320">
        <w:trPr>
          <w:trHeight w:val="1318"/>
        </w:trPr>
        <w:tc>
          <w:tcPr>
            <w:tcW w:w="1135" w:type="dxa"/>
            <w:vMerge/>
            <w:vAlign w:val="center"/>
          </w:tcPr>
          <w:p w14:paraId="3B882B35" w14:textId="77777777" w:rsidR="006A0225" w:rsidRPr="00135E51" w:rsidRDefault="006A0225" w:rsidP="00D148F6">
            <w:pPr>
              <w:rPr>
                <w:rFonts w:asciiTheme="majorHAnsi" w:hAnsiTheme="majorHAnsi" w:cs="Arial"/>
                <w:sz w:val="16"/>
                <w:szCs w:val="16"/>
              </w:rPr>
            </w:pPr>
          </w:p>
        </w:tc>
        <w:tc>
          <w:tcPr>
            <w:tcW w:w="1701" w:type="dxa"/>
            <w:vAlign w:val="center"/>
          </w:tcPr>
          <w:p w14:paraId="71EE752E" w14:textId="42229782" w:rsidR="006A0225" w:rsidRPr="00135E51" w:rsidRDefault="006A0225" w:rsidP="00D148F6">
            <w:pPr>
              <w:rPr>
                <w:rFonts w:asciiTheme="majorHAnsi" w:hAnsiTheme="majorHAnsi" w:cs="Arial"/>
                <w:sz w:val="16"/>
                <w:szCs w:val="16"/>
              </w:rPr>
            </w:pPr>
            <w:r w:rsidRPr="00135E51">
              <w:rPr>
                <w:rFonts w:asciiTheme="majorHAnsi" w:hAnsiTheme="majorHAnsi" w:cs="Arial"/>
                <w:sz w:val="16"/>
                <w:szCs w:val="16"/>
              </w:rPr>
              <w:t xml:space="preserve">Inflation </w:t>
            </w:r>
            <w:r>
              <w:rPr>
                <w:rFonts w:asciiTheme="majorHAnsi" w:hAnsiTheme="majorHAnsi" w:cs="Arial"/>
                <w:sz w:val="16"/>
                <w:szCs w:val="16"/>
              </w:rPr>
              <w:t>does not</w:t>
            </w:r>
            <w:r w:rsidRPr="00135E51">
              <w:rPr>
                <w:rFonts w:asciiTheme="majorHAnsi" w:hAnsiTheme="majorHAnsi" w:cs="Arial"/>
                <w:sz w:val="16"/>
                <w:szCs w:val="16"/>
              </w:rPr>
              <w:t xml:space="preserve"> </w:t>
            </w:r>
            <w:r w:rsidR="00D00AC7">
              <w:rPr>
                <w:rFonts w:asciiTheme="majorHAnsi" w:hAnsiTheme="majorHAnsi" w:cs="Arial"/>
                <w:sz w:val="16"/>
                <w:szCs w:val="16"/>
              </w:rPr>
              <w:t>affect currency</w:t>
            </w:r>
            <w:r>
              <w:rPr>
                <w:rFonts w:asciiTheme="majorHAnsi" w:hAnsiTheme="majorHAnsi" w:cs="Arial"/>
                <w:sz w:val="16"/>
                <w:szCs w:val="16"/>
              </w:rPr>
              <w:t xml:space="preserve"> substitution</w:t>
            </w:r>
          </w:p>
        </w:tc>
        <w:tc>
          <w:tcPr>
            <w:tcW w:w="1784" w:type="dxa"/>
          </w:tcPr>
          <w:p w14:paraId="64125940" w14:textId="34302068" w:rsidR="006A0225" w:rsidRPr="00135E51" w:rsidRDefault="006A0225" w:rsidP="00D148F6">
            <w:pPr>
              <w:rPr>
                <w:rFonts w:asciiTheme="majorHAnsi" w:hAnsiTheme="majorHAnsi" w:cs="Arial"/>
                <w:sz w:val="16"/>
                <w:szCs w:val="16"/>
              </w:rPr>
            </w:pPr>
            <w:r>
              <w:rPr>
                <w:rFonts w:asciiTheme="majorHAnsi" w:hAnsiTheme="majorHAnsi" w:cs="Arial"/>
                <w:sz w:val="16"/>
                <w:szCs w:val="16"/>
              </w:rPr>
              <w:t>Stix (2011)</w:t>
            </w:r>
          </w:p>
        </w:tc>
        <w:tc>
          <w:tcPr>
            <w:tcW w:w="1721" w:type="dxa"/>
          </w:tcPr>
          <w:p w14:paraId="2EF6C9B0" w14:textId="6F02525C" w:rsidR="006A0225" w:rsidRPr="006A0225" w:rsidRDefault="006A0225" w:rsidP="00D148F6">
            <w:pPr>
              <w:rPr>
                <w:rFonts w:asciiTheme="majorHAnsi" w:hAnsiTheme="majorHAnsi" w:cs="Arial"/>
                <w:sz w:val="16"/>
                <w:szCs w:val="16"/>
              </w:rPr>
            </w:pPr>
            <w:r w:rsidRPr="006A0225">
              <w:rPr>
                <w:rFonts w:asciiTheme="majorHAnsi" w:hAnsiTheme="majorHAnsi" w:cs="Arial"/>
                <w:sz w:val="16"/>
                <w:szCs w:val="16"/>
              </w:rPr>
              <w:t>Quantitative Study of Household Data of Croatia, Slovakia, Slovenia</w:t>
            </w:r>
          </w:p>
        </w:tc>
        <w:tc>
          <w:tcPr>
            <w:tcW w:w="4574" w:type="dxa"/>
          </w:tcPr>
          <w:p w14:paraId="4CA42BD2" w14:textId="42BA1B62" w:rsidR="006A0225" w:rsidRPr="006A0225" w:rsidRDefault="006A0225" w:rsidP="00D148F6">
            <w:pPr>
              <w:rPr>
                <w:rFonts w:asciiTheme="majorHAnsi" w:hAnsiTheme="majorHAnsi" w:cs="Arial"/>
                <w:sz w:val="16"/>
                <w:szCs w:val="16"/>
              </w:rPr>
            </w:pPr>
            <w:r w:rsidRPr="006A0225">
              <w:rPr>
                <w:rFonts w:asciiTheme="majorHAnsi" w:hAnsiTheme="majorHAnsi" w:cs="Arial"/>
                <w:sz w:val="16"/>
                <w:szCs w:val="16"/>
              </w:rPr>
              <w:t>Neither inflation expectations nor exchange rates were a predictor of currency substitution.</w:t>
            </w:r>
          </w:p>
        </w:tc>
      </w:tr>
      <w:tr w:rsidR="00C24AC5" w:rsidRPr="00135E51" w14:paraId="1276F4FE" w14:textId="77777777" w:rsidTr="00CA6320">
        <w:trPr>
          <w:trHeight w:val="846"/>
        </w:trPr>
        <w:tc>
          <w:tcPr>
            <w:tcW w:w="1135" w:type="dxa"/>
            <w:vAlign w:val="center"/>
          </w:tcPr>
          <w:p w14:paraId="11D19B98" w14:textId="174D19A8" w:rsidR="00C24AC5" w:rsidRPr="006A0225" w:rsidRDefault="00C24AC5" w:rsidP="00C24AC5">
            <w:pPr>
              <w:rPr>
                <w:rFonts w:asciiTheme="majorHAnsi" w:hAnsiTheme="majorHAnsi" w:cs="Arial"/>
                <w:sz w:val="16"/>
                <w:szCs w:val="16"/>
              </w:rPr>
            </w:pPr>
            <w:r w:rsidRPr="006A0225">
              <w:rPr>
                <w:rFonts w:asciiTheme="majorHAnsi" w:hAnsiTheme="majorHAnsi" w:cs="Arial"/>
                <w:sz w:val="16"/>
                <w:szCs w:val="16"/>
              </w:rPr>
              <w:t>Sovereign Default</w:t>
            </w:r>
          </w:p>
        </w:tc>
        <w:tc>
          <w:tcPr>
            <w:tcW w:w="1701" w:type="dxa"/>
            <w:vAlign w:val="center"/>
          </w:tcPr>
          <w:p w14:paraId="314AD370" w14:textId="178BE64F" w:rsidR="00C24AC5" w:rsidRPr="006A0225" w:rsidRDefault="00C24AC5" w:rsidP="00C24AC5">
            <w:pPr>
              <w:rPr>
                <w:rFonts w:asciiTheme="majorHAnsi" w:hAnsiTheme="majorHAnsi" w:cs="Arial"/>
                <w:sz w:val="16"/>
                <w:szCs w:val="16"/>
              </w:rPr>
            </w:pPr>
            <w:r w:rsidRPr="006A0225">
              <w:rPr>
                <w:rFonts w:asciiTheme="majorHAnsi" w:hAnsiTheme="majorHAnsi" w:cs="Arial"/>
                <w:sz w:val="16"/>
                <w:szCs w:val="16"/>
              </w:rPr>
              <w:t xml:space="preserve">Risk of Sovereign Default increases currency </w:t>
            </w:r>
            <w:r w:rsidR="006A0225">
              <w:rPr>
                <w:rFonts w:asciiTheme="majorHAnsi" w:hAnsiTheme="majorHAnsi" w:cs="Arial"/>
                <w:sz w:val="16"/>
                <w:szCs w:val="16"/>
              </w:rPr>
              <w:t>substitution</w:t>
            </w:r>
          </w:p>
        </w:tc>
        <w:tc>
          <w:tcPr>
            <w:tcW w:w="1784" w:type="dxa"/>
          </w:tcPr>
          <w:p w14:paraId="1E9E3287" w14:textId="1E997549" w:rsidR="00C24AC5" w:rsidRPr="006A0225" w:rsidRDefault="00C24AC5" w:rsidP="00C24AC5">
            <w:pPr>
              <w:rPr>
                <w:rFonts w:asciiTheme="majorHAnsi" w:hAnsiTheme="majorHAnsi" w:cs="Arial"/>
                <w:sz w:val="16"/>
                <w:szCs w:val="16"/>
              </w:rPr>
            </w:pPr>
            <w:r w:rsidRPr="006A0225">
              <w:rPr>
                <w:rFonts w:asciiTheme="majorHAnsi" w:hAnsiTheme="majorHAnsi" w:cs="Arial"/>
                <w:sz w:val="16"/>
                <w:szCs w:val="16"/>
              </w:rPr>
              <w:t>Vieira et al. (2012)</w:t>
            </w:r>
          </w:p>
        </w:tc>
        <w:tc>
          <w:tcPr>
            <w:tcW w:w="1721" w:type="dxa"/>
          </w:tcPr>
          <w:p w14:paraId="3605196B" w14:textId="0035357C" w:rsidR="00C24AC5" w:rsidRPr="006A0225" w:rsidRDefault="00C24AC5" w:rsidP="00C24AC5">
            <w:pPr>
              <w:rPr>
                <w:rFonts w:asciiTheme="majorHAnsi" w:hAnsiTheme="majorHAnsi" w:cs="Arial"/>
                <w:sz w:val="16"/>
                <w:szCs w:val="16"/>
              </w:rPr>
            </w:pPr>
            <w:r w:rsidRPr="006A0225">
              <w:rPr>
                <w:rFonts w:asciiTheme="majorHAnsi" w:hAnsiTheme="majorHAnsi" w:cs="Arial"/>
                <w:sz w:val="16"/>
                <w:szCs w:val="16"/>
              </w:rPr>
              <w:t>Quantitative panel data study of 72 economies</w:t>
            </w:r>
          </w:p>
        </w:tc>
        <w:tc>
          <w:tcPr>
            <w:tcW w:w="4574" w:type="dxa"/>
          </w:tcPr>
          <w:p w14:paraId="7CACF66F" w14:textId="173AC8C1" w:rsidR="00C24AC5" w:rsidRPr="006A0225" w:rsidRDefault="00C24AC5" w:rsidP="00C24AC5">
            <w:pPr>
              <w:rPr>
                <w:rFonts w:asciiTheme="majorHAnsi" w:hAnsiTheme="majorHAnsi" w:cs="Arial"/>
                <w:sz w:val="16"/>
                <w:szCs w:val="16"/>
              </w:rPr>
            </w:pPr>
            <w:r w:rsidRPr="006A0225">
              <w:rPr>
                <w:rFonts w:asciiTheme="majorHAnsi" w:hAnsiTheme="majorHAnsi" w:cs="Arial"/>
                <w:sz w:val="16"/>
                <w:szCs w:val="16"/>
              </w:rPr>
              <w:t xml:space="preserve">Inflation is a predictor of currency </w:t>
            </w:r>
            <w:r w:rsidR="00D00AC7" w:rsidRPr="00D00AC7">
              <w:rPr>
                <w:rFonts w:asciiTheme="majorHAnsi" w:hAnsiTheme="majorHAnsi" w:cs="Arial"/>
                <w:sz w:val="16"/>
                <w:szCs w:val="16"/>
              </w:rPr>
              <w:t>substitution</w:t>
            </w:r>
            <w:r w:rsidR="00D00AC7" w:rsidRPr="006A0225">
              <w:rPr>
                <w:rFonts w:asciiTheme="majorHAnsi" w:hAnsiTheme="majorHAnsi" w:cs="Arial"/>
                <w:sz w:val="16"/>
                <w:szCs w:val="16"/>
              </w:rPr>
              <w:t>;</w:t>
            </w:r>
            <w:r w:rsidRPr="006A0225">
              <w:rPr>
                <w:rFonts w:asciiTheme="majorHAnsi" w:hAnsiTheme="majorHAnsi" w:cs="Arial"/>
                <w:sz w:val="16"/>
                <w:szCs w:val="16"/>
              </w:rPr>
              <w:t xml:space="preserve"> </w:t>
            </w:r>
            <w:r w:rsidR="00D00AC7" w:rsidRPr="006A0225">
              <w:rPr>
                <w:rFonts w:asciiTheme="majorHAnsi" w:hAnsiTheme="majorHAnsi" w:cs="Arial"/>
                <w:sz w:val="16"/>
                <w:szCs w:val="16"/>
              </w:rPr>
              <w:t>however,</w:t>
            </w:r>
            <w:r w:rsidRPr="006A0225">
              <w:rPr>
                <w:rFonts w:asciiTheme="majorHAnsi" w:hAnsiTheme="majorHAnsi" w:cs="Arial"/>
                <w:sz w:val="16"/>
                <w:szCs w:val="16"/>
              </w:rPr>
              <w:t xml:space="preserve"> the risk of sovereign default was an even stronger predictor.</w:t>
            </w:r>
          </w:p>
        </w:tc>
      </w:tr>
      <w:tr w:rsidR="00EB4DB5" w:rsidRPr="00135E51" w14:paraId="18D5C0C5" w14:textId="77777777" w:rsidTr="00CA6320">
        <w:trPr>
          <w:trHeight w:val="631"/>
        </w:trPr>
        <w:tc>
          <w:tcPr>
            <w:tcW w:w="1135" w:type="dxa"/>
            <w:vMerge w:val="restart"/>
            <w:vAlign w:val="center"/>
          </w:tcPr>
          <w:p w14:paraId="5558A05F" w14:textId="66C7EA28" w:rsidR="00EB4DB5" w:rsidRPr="006A0225" w:rsidRDefault="00EB4DB5" w:rsidP="00C24AC5">
            <w:pPr>
              <w:rPr>
                <w:rFonts w:asciiTheme="majorHAnsi" w:hAnsiTheme="majorHAnsi" w:cs="Arial"/>
                <w:sz w:val="16"/>
                <w:szCs w:val="16"/>
              </w:rPr>
            </w:pPr>
            <w:r w:rsidRPr="006A0225">
              <w:rPr>
                <w:rFonts w:asciiTheme="majorHAnsi" w:hAnsiTheme="majorHAnsi" w:cs="Arial"/>
                <w:sz w:val="16"/>
                <w:szCs w:val="16"/>
              </w:rPr>
              <w:t>Technology</w:t>
            </w:r>
          </w:p>
        </w:tc>
        <w:tc>
          <w:tcPr>
            <w:tcW w:w="1701" w:type="dxa"/>
            <w:vMerge w:val="restart"/>
            <w:vAlign w:val="center"/>
          </w:tcPr>
          <w:p w14:paraId="1C0BC9A5" w14:textId="77777777" w:rsidR="00EB4DB5" w:rsidRDefault="00EB4DB5" w:rsidP="00C24AC5">
            <w:pPr>
              <w:rPr>
                <w:rFonts w:asciiTheme="majorHAnsi" w:hAnsiTheme="majorHAnsi" w:cs="Arial"/>
                <w:sz w:val="16"/>
                <w:szCs w:val="16"/>
              </w:rPr>
            </w:pPr>
            <w:r w:rsidRPr="006A0225">
              <w:rPr>
                <w:rFonts w:asciiTheme="majorHAnsi" w:hAnsiTheme="majorHAnsi" w:cs="Arial"/>
                <w:sz w:val="16"/>
                <w:szCs w:val="16"/>
              </w:rPr>
              <w:t xml:space="preserve">Technology increases currency </w:t>
            </w:r>
          </w:p>
          <w:p w14:paraId="440D4C9B" w14:textId="0B437425" w:rsidR="006A0225" w:rsidRPr="006A0225" w:rsidRDefault="006A0225" w:rsidP="00C24AC5">
            <w:pPr>
              <w:rPr>
                <w:rFonts w:asciiTheme="majorHAnsi" w:hAnsiTheme="majorHAnsi" w:cs="Arial"/>
                <w:sz w:val="16"/>
                <w:szCs w:val="16"/>
              </w:rPr>
            </w:pPr>
            <w:r>
              <w:rPr>
                <w:rFonts w:asciiTheme="majorHAnsi" w:hAnsiTheme="majorHAnsi" w:cs="Arial"/>
                <w:sz w:val="16"/>
                <w:szCs w:val="16"/>
              </w:rPr>
              <w:t>substitution</w:t>
            </w:r>
          </w:p>
        </w:tc>
        <w:tc>
          <w:tcPr>
            <w:tcW w:w="1784" w:type="dxa"/>
          </w:tcPr>
          <w:p w14:paraId="4D40A5F5" w14:textId="0E0FB9B9" w:rsidR="00EB4DB5" w:rsidRPr="006A0225" w:rsidRDefault="00EB4DB5" w:rsidP="00C24AC5">
            <w:pPr>
              <w:rPr>
                <w:rFonts w:asciiTheme="majorHAnsi" w:hAnsiTheme="majorHAnsi" w:cs="Arial"/>
                <w:sz w:val="16"/>
                <w:szCs w:val="16"/>
              </w:rPr>
            </w:pPr>
            <w:proofErr w:type="spellStart"/>
            <w:r w:rsidRPr="006A0225">
              <w:rPr>
                <w:rFonts w:asciiTheme="majorHAnsi" w:hAnsiTheme="majorHAnsi" w:cs="Arial"/>
                <w:sz w:val="16"/>
                <w:szCs w:val="16"/>
              </w:rPr>
              <w:t>Ujunwa</w:t>
            </w:r>
            <w:proofErr w:type="spellEnd"/>
            <w:r w:rsidRPr="006A0225">
              <w:rPr>
                <w:rFonts w:asciiTheme="majorHAnsi" w:hAnsiTheme="majorHAnsi" w:cs="Arial"/>
                <w:sz w:val="16"/>
                <w:szCs w:val="16"/>
              </w:rPr>
              <w:t xml:space="preserve"> et al. (2021)</w:t>
            </w:r>
          </w:p>
        </w:tc>
        <w:tc>
          <w:tcPr>
            <w:tcW w:w="1721" w:type="dxa"/>
          </w:tcPr>
          <w:p w14:paraId="442B8511" w14:textId="36405B8F" w:rsidR="00EB4DB5" w:rsidRPr="006A0225" w:rsidRDefault="00EB4DB5" w:rsidP="00C24AC5">
            <w:pPr>
              <w:rPr>
                <w:rFonts w:asciiTheme="majorHAnsi" w:hAnsiTheme="majorHAnsi" w:cs="Arial"/>
                <w:sz w:val="16"/>
                <w:szCs w:val="16"/>
              </w:rPr>
            </w:pPr>
            <w:r w:rsidRPr="006A0225">
              <w:rPr>
                <w:rFonts w:asciiTheme="majorHAnsi" w:hAnsiTheme="majorHAnsi" w:cs="Arial"/>
                <w:sz w:val="16"/>
                <w:szCs w:val="16"/>
              </w:rPr>
              <w:t>Quantitative Case Study -Nigeria</w:t>
            </w:r>
          </w:p>
        </w:tc>
        <w:tc>
          <w:tcPr>
            <w:tcW w:w="4574" w:type="dxa"/>
          </w:tcPr>
          <w:p w14:paraId="549CA794" w14:textId="3EC4734C" w:rsidR="00EB4DB5" w:rsidRPr="006A0225" w:rsidRDefault="00EB4DB5" w:rsidP="00C24AC5">
            <w:pPr>
              <w:rPr>
                <w:rFonts w:asciiTheme="majorHAnsi" w:hAnsiTheme="majorHAnsi" w:cs="Arial"/>
                <w:sz w:val="16"/>
                <w:szCs w:val="16"/>
              </w:rPr>
            </w:pPr>
            <w:r w:rsidRPr="006A0225">
              <w:rPr>
                <w:rFonts w:asciiTheme="majorHAnsi" w:hAnsiTheme="majorHAnsi" w:cs="Arial"/>
                <w:sz w:val="16"/>
                <w:szCs w:val="16"/>
              </w:rPr>
              <w:t xml:space="preserve">Financial Innovation found to be a significant predictor of currency substitution in Nigeria between 2005 – 2019. </w:t>
            </w:r>
          </w:p>
        </w:tc>
      </w:tr>
      <w:tr w:rsidR="00EB4DB5" w:rsidRPr="00135E51" w14:paraId="56BD728C" w14:textId="77777777" w:rsidTr="00CA6320">
        <w:trPr>
          <w:trHeight w:val="157"/>
        </w:trPr>
        <w:tc>
          <w:tcPr>
            <w:tcW w:w="1135" w:type="dxa"/>
            <w:vMerge/>
            <w:vAlign w:val="center"/>
          </w:tcPr>
          <w:p w14:paraId="695F26CA" w14:textId="77777777" w:rsidR="00EB4DB5" w:rsidRPr="006A0225" w:rsidRDefault="00EB4DB5" w:rsidP="00C24AC5">
            <w:pPr>
              <w:rPr>
                <w:rFonts w:asciiTheme="majorHAnsi" w:hAnsiTheme="majorHAnsi" w:cs="Arial"/>
                <w:sz w:val="16"/>
                <w:szCs w:val="16"/>
              </w:rPr>
            </w:pPr>
          </w:p>
        </w:tc>
        <w:tc>
          <w:tcPr>
            <w:tcW w:w="1701" w:type="dxa"/>
            <w:vMerge/>
            <w:vAlign w:val="center"/>
          </w:tcPr>
          <w:p w14:paraId="025FFA6A" w14:textId="77777777" w:rsidR="00EB4DB5" w:rsidRPr="006A0225" w:rsidRDefault="00EB4DB5" w:rsidP="00C24AC5">
            <w:pPr>
              <w:rPr>
                <w:rFonts w:asciiTheme="majorHAnsi" w:hAnsiTheme="majorHAnsi" w:cs="Arial"/>
                <w:sz w:val="16"/>
                <w:szCs w:val="16"/>
              </w:rPr>
            </w:pPr>
          </w:p>
        </w:tc>
        <w:tc>
          <w:tcPr>
            <w:tcW w:w="1784" w:type="dxa"/>
          </w:tcPr>
          <w:p w14:paraId="37165E9E" w14:textId="0B09D7B8" w:rsidR="00EB4DB5" w:rsidRPr="006A0225" w:rsidRDefault="004F17E8" w:rsidP="00C24AC5">
            <w:pPr>
              <w:rPr>
                <w:rFonts w:asciiTheme="majorHAnsi" w:hAnsiTheme="majorHAnsi" w:cs="Arial"/>
                <w:sz w:val="16"/>
                <w:szCs w:val="16"/>
              </w:rPr>
            </w:pPr>
            <w:r w:rsidRPr="006A0225">
              <w:rPr>
                <w:rFonts w:asciiTheme="majorHAnsi" w:hAnsiTheme="majorHAnsi" w:cs="Arial"/>
                <w:sz w:val="16"/>
                <w:szCs w:val="16"/>
              </w:rPr>
              <w:t>Guidotti (1993)</w:t>
            </w:r>
          </w:p>
        </w:tc>
        <w:tc>
          <w:tcPr>
            <w:tcW w:w="1721" w:type="dxa"/>
          </w:tcPr>
          <w:p w14:paraId="7038B062" w14:textId="75756880" w:rsidR="00EB4DB5" w:rsidRPr="006A0225" w:rsidRDefault="006A72F6" w:rsidP="00C24AC5">
            <w:pPr>
              <w:rPr>
                <w:rFonts w:asciiTheme="majorHAnsi" w:hAnsiTheme="majorHAnsi" w:cs="Arial"/>
                <w:sz w:val="16"/>
                <w:szCs w:val="16"/>
              </w:rPr>
            </w:pPr>
            <w:r w:rsidRPr="006A0225">
              <w:rPr>
                <w:rFonts w:asciiTheme="majorHAnsi" w:hAnsiTheme="majorHAnsi" w:cs="Arial"/>
                <w:sz w:val="16"/>
                <w:szCs w:val="16"/>
              </w:rPr>
              <w:t>Theoretical Model</w:t>
            </w:r>
          </w:p>
        </w:tc>
        <w:tc>
          <w:tcPr>
            <w:tcW w:w="4574" w:type="dxa"/>
          </w:tcPr>
          <w:p w14:paraId="49D3A067" w14:textId="49AF1802" w:rsidR="00EB4DB5" w:rsidRPr="006A0225" w:rsidRDefault="006A72F6" w:rsidP="00C24AC5">
            <w:pPr>
              <w:rPr>
                <w:rFonts w:asciiTheme="majorHAnsi" w:hAnsiTheme="majorHAnsi" w:cs="Arial"/>
                <w:sz w:val="16"/>
                <w:szCs w:val="16"/>
              </w:rPr>
            </w:pPr>
            <w:r w:rsidRPr="006A0225">
              <w:rPr>
                <w:rFonts w:asciiTheme="majorHAnsi" w:hAnsiTheme="majorHAnsi" w:cs="Arial"/>
                <w:sz w:val="16"/>
                <w:szCs w:val="16"/>
              </w:rPr>
              <w:t>By redu</w:t>
            </w:r>
            <w:r w:rsidR="00807FEB" w:rsidRPr="006A0225">
              <w:rPr>
                <w:rFonts w:asciiTheme="majorHAnsi" w:hAnsiTheme="majorHAnsi" w:cs="Arial"/>
                <w:sz w:val="16"/>
                <w:szCs w:val="16"/>
              </w:rPr>
              <w:t xml:space="preserve">cing the cost of transacting and holding foreign currencies, technological </w:t>
            </w:r>
            <w:r w:rsidR="00A779EA" w:rsidRPr="006A0225">
              <w:rPr>
                <w:rFonts w:asciiTheme="majorHAnsi" w:hAnsiTheme="majorHAnsi" w:cs="Arial"/>
                <w:sz w:val="16"/>
                <w:szCs w:val="16"/>
              </w:rPr>
              <w:t>innovation</w:t>
            </w:r>
            <w:r w:rsidR="00807FEB" w:rsidRPr="006A0225">
              <w:rPr>
                <w:rFonts w:asciiTheme="majorHAnsi" w:hAnsiTheme="majorHAnsi" w:cs="Arial"/>
                <w:sz w:val="16"/>
                <w:szCs w:val="16"/>
              </w:rPr>
              <w:t xml:space="preserve"> can</w:t>
            </w:r>
            <w:r w:rsidR="00A779EA" w:rsidRPr="006A0225">
              <w:rPr>
                <w:rFonts w:asciiTheme="majorHAnsi" w:hAnsiTheme="majorHAnsi" w:cs="Arial"/>
                <w:sz w:val="16"/>
                <w:szCs w:val="16"/>
              </w:rPr>
              <w:t xml:space="preserve"> increase the usage of foreign currencies</w:t>
            </w:r>
            <w:r w:rsidR="00807FEB" w:rsidRPr="006A0225">
              <w:rPr>
                <w:rFonts w:asciiTheme="majorHAnsi" w:hAnsiTheme="majorHAnsi" w:cs="Arial"/>
                <w:sz w:val="16"/>
                <w:szCs w:val="16"/>
              </w:rPr>
              <w:t xml:space="preserve"> </w:t>
            </w:r>
          </w:p>
        </w:tc>
      </w:tr>
      <w:tr w:rsidR="0055582A" w:rsidRPr="00135E51" w14:paraId="39A7C136" w14:textId="77777777" w:rsidTr="00CA6320">
        <w:trPr>
          <w:trHeight w:val="846"/>
        </w:trPr>
        <w:tc>
          <w:tcPr>
            <w:tcW w:w="1135" w:type="dxa"/>
            <w:vMerge w:val="restart"/>
            <w:vAlign w:val="center"/>
          </w:tcPr>
          <w:p w14:paraId="420E6D36" w14:textId="15BC4DCF" w:rsidR="0055582A" w:rsidRPr="006A0225" w:rsidRDefault="0055582A" w:rsidP="00C24AC5">
            <w:pPr>
              <w:rPr>
                <w:rFonts w:asciiTheme="majorHAnsi" w:hAnsiTheme="majorHAnsi" w:cs="Arial"/>
                <w:sz w:val="16"/>
                <w:szCs w:val="16"/>
              </w:rPr>
            </w:pPr>
            <w:r w:rsidRPr="006A0225">
              <w:rPr>
                <w:rFonts w:asciiTheme="majorHAnsi" w:hAnsiTheme="majorHAnsi" w:cs="Arial"/>
                <w:sz w:val="16"/>
                <w:szCs w:val="16"/>
              </w:rPr>
              <w:t>Exchange Rate Volatility</w:t>
            </w:r>
          </w:p>
        </w:tc>
        <w:tc>
          <w:tcPr>
            <w:tcW w:w="1701" w:type="dxa"/>
            <w:vAlign w:val="center"/>
          </w:tcPr>
          <w:p w14:paraId="3E80970B" w14:textId="224653EE" w:rsidR="0055582A" w:rsidRPr="006A0225" w:rsidRDefault="0055582A" w:rsidP="00C24AC5">
            <w:pPr>
              <w:rPr>
                <w:rFonts w:asciiTheme="majorHAnsi" w:hAnsiTheme="majorHAnsi" w:cs="Arial"/>
                <w:sz w:val="16"/>
                <w:szCs w:val="16"/>
              </w:rPr>
            </w:pPr>
            <w:r w:rsidRPr="006A0225">
              <w:rPr>
                <w:rFonts w:asciiTheme="majorHAnsi" w:hAnsiTheme="majorHAnsi" w:cs="Arial"/>
                <w:sz w:val="16"/>
                <w:szCs w:val="16"/>
              </w:rPr>
              <w:t>Positive</w:t>
            </w:r>
          </w:p>
        </w:tc>
        <w:tc>
          <w:tcPr>
            <w:tcW w:w="1784" w:type="dxa"/>
          </w:tcPr>
          <w:p w14:paraId="662F6672" w14:textId="6EBBA22B" w:rsidR="0055582A" w:rsidRPr="006A0225" w:rsidRDefault="0055582A" w:rsidP="00C24AC5">
            <w:pPr>
              <w:rPr>
                <w:rFonts w:asciiTheme="majorHAnsi" w:hAnsiTheme="majorHAnsi" w:cs="Arial"/>
                <w:sz w:val="16"/>
                <w:szCs w:val="16"/>
              </w:rPr>
            </w:pPr>
            <w:r w:rsidRPr="006A0225">
              <w:rPr>
                <w:rFonts w:asciiTheme="majorHAnsi" w:hAnsiTheme="majorHAnsi" w:cs="Arial"/>
                <w:sz w:val="16"/>
                <w:szCs w:val="16"/>
              </w:rPr>
              <w:t>Ajibola (2020)</w:t>
            </w:r>
          </w:p>
        </w:tc>
        <w:tc>
          <w:tcPr>
            <w:tcW w:w="1721" w:type="dxa"/>
          </w:tcPr>
          <w:p w14:paraId="437A215E" w14:textId="5564A27E" w:rsidR="0055582A" w:rsidRPr="006A0225" w:rsidRDefault="0055582A" w:rsidP="00C24AC5">
            <w:pPr>
              <w:rPr>
                <w:rFonts w:asciiTheme="majorHAnsi" w:hAnsiTheme="majorHAnsi" w:cs="Arial"/>
                <w:sz w:val="16"/>
                <w:szCs w:val="16"/>
              </w:rPr>
            </w:pPr>
            <w:r w:rsidRPr="006A0225">
              <w:rPr>
                <w:rFonts w:asciiTheme="majorHAnsi" w:hAnsiTheme="majorHAnsi" w:cs="Arial"/>
                <w:sz w:val="16"/>
                <w:szCs w:val="16"/>
              </w:rPr>
              <w:t>Quantitative Case Study – Nigeria – autoregressive distributed lag</w:t>
            </w:r>
          </w:p>
        </w:tc>
        <w:tc>
          <w:tcPr>
            <w:tcW w:w="4574" w:type="dxa"/>
          </w:tcPr>
          <w:p w14:paraId="3F5EF9F3" w14:textId="722A793D" w:rsidR="0055582A" w:rsidRPr="006A0225" w:rsidRDefault="0055582A" w:rsidP="00C24AC5">
            <w:pPr>
              <w:rPr>
                <w:rFonts w:asciiTheme="majorHAnsi" w:hAnsiTheme="majorHAnsi" w:cs="Arial"/>
                <w:sz w:val="16"/>
                <w:szCs w:val="16"/>
              </w:rPr>
            </w:pPr>
            <w:r w:rsidRPr="006A0225">
              <w:rPr>
                <w:rFonts w:asciiTheme="majorHAnsi" w:hAnsiTheme="majorHAnsi" w:cs="Arial"/>
                <w:sz w:val="16"/>
                <w:szCs w:val="16"/>
              </w:rPr>
              <w:t>Exchange rate volatility was positively correlated to currency substitution.</w:t>
            </w:r>
          </w:p>
        </w:tc>
      </w:tr>
      <w:tr w:rsidR="006A0225" w:rsidRPr="00135E51" w14:paraId="267E365E" w14:textId="77777777" w:rsidTr="00CA6320">
        <w:trPr>
          <w:trHeight w:val="157"/>
        </w:trPr>
        <w:tc>
          <w:tcPr>
            <w:tcW w:w="1135" w:type="dxa"/>
            <w:vMerge/>
          </w:tcPr>
          <w:p w14:paraId="098155B4" w14:textId="7C271285" w:rsidR="006A0225" w:rsidRPr="006A0225" w:rsidRDefault="006A0225" w:rsidP="00C24AC5">
            <w:pPr>
              <w:rPr>
                <w:rFonts w:asciiTheme="majorHAnsi" w:hAnsiTheme="majorHAnsi" w:cs="Arial"/>
                <w:sz w:val="16"/>
                <w:szCs w:val="16"/>
              </w:rPr>
            </w:pPr>
          </w:p>
        </w:tc>
        <w:tc>
          <w:tcPr>
            <w:tcW w:w="1701" w:type="dxa"/>
            <w:vMerge w:val="restart"/>
            <w:vAlign w:val="center"/>
          </w:tcPr>
          <w:p w14:paraId="40F0CF42" w14:textId="77777777" w:rsidR="006A0225" w:rsidRPr="006A0225" w:rsidRDefault="006A0225" w:rsidP="00C24AC5">
            <w:pPr>
              <w:rPr>
                <w:rFonts w:asciiTheme="majorHAnsi" w:hAnsiTheme="majorHAnsi" w:cs="Arial"/>
                <w:sz w:val="16"/>
                <w:szCs w:val="16"/>
              </w:rPr>
            </w:pPr>
            <w:r w:rsidRPr="006A0225">
              <w:rPr>
                <w:rFonts w:asciiTheme="majorHAnsi" w:hAnsiTheme="majorHAnsi" w:cs="Arial"/>
                <w:sz w:val="16"/>
                <w:szCs w:val="16"/>
              </w:rPr>
              <w:t>Positive</w:t>
            </w:r>
          </w:p>
          <w:p w14:paraId="41C1950F" w14:textId="714BE26D" w:rsidR="006A0225" w:rsidRPr="006A0225" w:rsidRDefault="006A0225" w:rsidP="00C24AC5">
            <w:pPr>
              <w:rPr>
                <w:rFonts w:asciiTheme="majorHAnsi" w:hAnsiTheme="majorHAnsi" w:cs="Arial"/>
                <w:sz w:val="16"/>
                <w:szCs w:val="16"/>
              </w:rPr>
            </w:pPr>
            <w:r w:rsidRPr="006A0225">
              <w:rPr>
                <w:rFonts w:asciiTheme="majorHAnsi" w:hAnsiTheme="majorHAnsi" w:cs="Arial"/>
                <w:sz w:val="16"/>
                <w:szCs w:val="16"/>
              </w:rPr>
              <w:t>Negative</w:t>
            </w:r>
          </w:p>
        </w:tc>
        <w:tc>
          <w:tcPr>
            <w:tcW w:w="1784" w:type="dxa"/>
          </w:tcPr>
          <w:p w14:paraId="3A8042E8" w14:textId="67685C4D" w:rsidR="006A0225" w:rsidRPr="006A0225" w:rsidRDefault="006A0225" w:rsidP="00C24AC5">
            <w:pPr>
              <w:rPr>
                <w:rFonts w:asciiTheme="majorHAnsi" w:hAnsiTheme="majorHAnsi" w:cs="Arial"/>
                <w:sz w:val="16"/>
                <w:szCs w:val="16"/>
              </w:rPr>
            </w:pPr>
            <w:r w:rsidRPr="006A0225">
              <w:rPr>
                <w:rFonts w:asciiTheme="majorHAnsi" w:hAnsiTheme="majorHAnsi" w:cs="Arial"/>
                <w:sz w:val="16"/>
                <w:szCs w:val="16"/>
              </w:rPr>
              <w:t>Ju (2020)</w:t>
            </w:r>
          </w:p>
        </w:tc>
        <w:tc>
          <w:tcPr>
            <w:tcW w:w="1721" w:type="dxa"/>
          </w:tcPr>
          <w:p w14:paraId="65938BAE" w14:textId="0D2A8A80" w:rsidR="006A0225" w:rsidRPr="006A0225" w:rsidRDefault="006A0225" w:rsidP="00C24AC5">
            <w:pPr>
              <w:rPr>
                <w:rFonts w:asciiTheme="majorHAnsi" w:hAnsiTheme="majorHAnsi" w:cs="Arial"/>
                <w:sz w:val="16"/>
                <w:szCs w:val="16"/>
              </w:rPr>
            </w:pPr>
            <w:r w:rsidRPr="006A0225">
              <w:rPr>
                <w:rFonts w:asciiTheme="majorHAnsi" w:hAnsiTheme="majorHAnsi" w:cs="Arial"/>
                <w:sz w:val="16"/>
                <w:szCs w:val="16"/>
              </w:rPr>
              <w:t>Threshold ARCH Model studying 28 economies</w:t>
            </w:r>
          </w:p>
        </w:tc>
        <w:tc>
          <w:tcPr>
            <w:tcW w:w="4574" w:type="dxa"/>
          </w:tcPr>
          <w:p w14:paraId="68628466" w14:textId="15BFB6C6" w:rsidR="006A0225" w:rsidRPr="006A0225" w:rsidRDefault="006A0225" w:rsidP="00C24AC5">
            <w:pPr>
              <w:rPr>
                <w:rFonts w:asciiTheme="majorHAnsi" w:hAnsiTheme="majorHAnsi" w:cs="Arial"/>
                <w:sz w:val="16"/>
                <w:szCs w:val="16"/>
              </w:rPr>
            </w:pPr>
            <w:r w:rsidRPr="006A0225">
              <w:rPr>
                <w:rFonts w:asciiTheme="majorHAnsi" w:hAnsiTheme="majorHAnsi" w:cs="Arial"/>
                <w:sz w:val="16"/>
                <w:szCs w:val="16"/>
              </w:rPr>
              <w:t>Significant positive correlation between currency substitution and exchange rate volatility.</w:t>
            </w:r>
          </w:p>
        </w:tc>
      </w:tr>
      <w:tr w:rsidR="006A0225" w:rsidRPr="00135E51" w14:paraId="619BED44" w14:textId="77777777" w:rsidTr="00CA6320">
        <w:trPr>
          <w:trHeight w:val="157"/>
        </w:trPr>
        <w:tc>
          <w:tcPr>
            <w:tcW w:w="1135" w:type="dxa"/>
            <w:vMerge/>
          </w:tcPr>
          <w:p w14:paraId="2CCFDC85" w14:textId="77777777" w:rsidR="006A0225" w:rsidRPr="006A0225" w:rsidRDefault="006A0225" w:rsidP="00C24AC5">
            <w:pPr>
              <w:rPr>
                <w:rFonts w:asciiTheme="majorHAnsi" w:hAnsiTheme="majorHAnsi" w:cs="Arial"/>
                <w:sz w:val="16"/>
                <w:szCs w:val="16"/>
              </w:rPr>
            </w:pPr>
          </w:p>
        </w:tc>
        <w:tc>
          <w:tcPr>
            <w:tcW w:w="1701" w:type="dxa"/>
            <w:vMerge/>
          </w:tcPr>
          <w:p w14:paraId="3D4BB6C7" w14:textId="219959FF" w:rsidR="006A0225" w:rsidRPr="006A0225" w:rsidRDefault="006A0225" w:rsidP="00C24AC5">
            <w:pPr>
              <w:rPr>
                <w:rFonts w:asciiTheme="majorHAnsi" w:hAnsiTheme="majorHAnsi" w:cs="Arial"/>
                <w:sz w:val="16"/>
                <w:szCs w:val="16"/>
              </w:rPr>
            </w:pPr>
          </w:p>
        </w:tc>
        <w:tc>
          <w:tcPr>
            <w:tcW w:w="1784" w:type="dxa"/>
          </w:tcPr>
          <w:p w14:paraId="1CAFCFAE" w14:textId="2EE8243A" w:rsidR="006A0225" w:rsidRPr="006A0225" w:rsidRDefault="006A0225" w:rsidP="00C24AC5">
            <w:pPr>
              <w:rPr>
                <w:rFonts w:asciiTheme="majorHAnsi" w:hAnsiTheme="majorHAnsi" w:cs="Arial"/>
                <w:sz w:val="16"/>
                <w:szCs w:val="16"/>
              </w:rPr>
            </w:pPr>
            <w:r w:rsidRPr="006A0225">
              <w:rPr>
                <w:rFonts w:asciiTheme="majorHAnsi" w:hAnsiTheme="majorHAnsi" w:cs="Arial"/>
                <w:sz w:val="16"/>
                <w:szCs w:val="16"/>
              </w:rPr>
              <w:t>Stix (2011)</w:t>
            </w:r>
          </w:p>
        </w:tc>
        <w:tc>
          <w:tcPr>
            <w:tcW w:w="1721" w:type="dxa"/>
          </w:tcPr>
          <w:p w14:paraId="1FBF0275" w14:textId="58AD1FDA" w:rsidR="006A0225" w:rsidRPr="006A0225" w:rsidRDefault="006A0225" w:rsidP="00C24AC5">
            <w:pPr>
              <w:rPr>
                <w:rFonts w:asciiTheme="majorHAnsi" w:hAnsiTheme="majorHAnsi" w:cs="Arial"/>
                <w:sz w:val="16"/>
                <w:szCs w:val="16"/>
              </w:rPr>
            </w:pPr>
            <w:r w:rsidRPr="006A0225">
              <w:rPr>
                <w:rFonts w:asciiTheme="majorHAnsi" w:hAnsiTheme="majorHAnsi" w:cs="Arial"/>
                <w:sz w:val="16"/>
                <w:szCs w:val="16"/>
              </w:rPr>
              <w:t>Quantitative Study of Household Data of Croatia, Slovakia, Slovenia</w:t>
            </w:r>
          </w:p>
        </w:tc>
        <w:tc>
          <w:tcPr>
            <w:tcW w:w="4574" w:type="dxa"/>
          </w:tcPr>
          <w:p w14:paraId="7DCDF77A" w14:textId="458576ED" w:rsidR="006A0225" w:rsidRPr="006A0225" w:rsidRDefault="006A0225" w:rsidP="00C24AC5">
            <w:pPr>
              <w:rPr>
                <w:rFonts w:asciiTheme="majorHAnsi" w:hAnsiTheme="majorHAnsi" w:cs="Arial"/>
                <w:sz w:val="16"/>
                <w:szCs w:val="16"/>
              </w:rPr>
            </w:pPr>
            <w:r w:rsidRPr="006A0225">
              <w:rPr>
                <w:rFonts w:asciiTheme="majorHAnsi" w:hAnsiTheme="majorHAnsi" w:cs="Arial"/>
                <w:sz w:val="16"/>
                <w:szCs w:val="16"/>
              </w:rPr>
              <w:t>Neither inflation expectations nor exchange rates were a predictor of currency substitution.</w:t>
            </w:r>
          </w:p>
        </w:tc>
      </w:tr>
    </w:tbl>
    <w:p w14:paraId="59763C70" w14:textId="77777777" w:rsidR="00F53743" w:rsidRDefault="00F53743"/>
    <w:p w14:paraId="10CE104E" w14:textId="77777777" w:rsidR="00BF6A4B" w:rsidRDefault="00BF6A4B"/>
    <w:p w14:paraId="0B7EBF13" w14:textId="77777777" w:rsidR="00CA6320" w:rsidRDefault="00CA6320"/>
    <w:p w14:paraId="56FF45B4" w14:textId="77777777" w:rsidR="00CA6320" w:rsidRDefault="00CA6320"/>
    <w:p w14:paraId="5884DF81" w14:textId="1C47695F" w:rsidR="00BF6A4B" w:rsidRDefault="00BF6A4B"/>
    <w:p w14:paraId="3965B840" w14:textId="77777777" w:rsidR="00BF6A4B" w:rsidRDefault="00BF6A4B"/>
    <w:p w14:paraId="362EE5FF" w14:textId="77777777" w:rsidR="00BF6A4B" w:rsidRDefault="00BF6A4B"/>
    <w:p w14:paraId="163973A2" w14:textId="77777777" w:rsidR="00BF6A4B" w:rsidRDefault="00BF6A4B"/>
    <w:p w14:paraId="1FC5F842" w14:textId="77777777" w:rsidR="00BF6A4B" w:rsidRDefault="00BF6A4B"/>
    <w:p w14:paraId="70AEF684" w14:textId="77777777" w:rsidR="00BF6A4B" w:rsidRDefault="00BF6A4B"/>
    <w:p w14:paraId="7F83C27C" w14:textId="77777777" w:rsidR="00BF6A4B" w:rsidRDefault="00BF6A4B"/>
    <w:p w14:paraId="49C80293" w14:textId="77777777" w:rsidR="00BF6A4B" w:rsidRDefault="00BF6A4B"/>
    <w:p w14:paraId="77F37A13" w14:textId="77777777" w:rsidR="003E05FC" w:rsidRDefault="003E05FC" w:rsidP="003E05FC">
      <w:pPr>
        <w:rPr>
          <w:lang w:val="en-US"/>
        </w:rPr>
      </w:pPr>
      <w:r>
        <w:rPr>
          <w:lang w:val="en-US"/>
        </w:rPr>
        <w:t>Methodology Review</w:t>
      </w:r>
    </w:p>
    <w:p w14:paraId="529F325F" w14:textId="77777777" w:rsidR="003E05FC" w:rsidRDefault="003E05FC" w:rsidP="003E05FC">
      <w:pPr>
        <w:rPr>
          <w:lang w:val="en-US"/>
        </w:rPr>
      </w:pPr>
      <w:r>
        <w:rPr>
          <w:lang w:val="en-US"/>
        </w:rPr>
        <w:t xml:space="preserve">This review will focus on quantitative studies evaluating the adoption of Bitcoin </w:t>
      </w:r>
      <w:proofErr w:type="gramStart"/>
      <w:r>
        <w:rPr>
          <w:lang w:val="en-US"/>
        </w:rPr>
        <w:t>with in</w:t>
      </w:r>
      <w:proofErr w:type="gramEnd"/>
      <w:r>
        <w:rPr>
          <w:lang w:val="en-US"/>
        </w:rPr>
        <w:t xml:space="preserve"> connection with some economic </w:t>
      </w:r>
      <w:proofErr w:type="gramStart"/>
      <w:r>
        <w:rPr>
          <w:lang w:val="en-US"/>
        </w:rPr>
        <w:t>fundamental</w:t>
      </w:r>
      <w:proofErr w:type="gramEnd"/>
      <w:r>
        <w:rPr>
          <w:lang w:val="en-US"/>
        </w:rPr>
        <w:t>.</w:t>
      </w:r>
    </w:p>
    <w:p w14:paraId="405C4FF0" w14:textId="77777777" w:rsidR="003E05FC" w:rsidRDefault="003E05FC" w:rsidP="003E05FC">
      <w:pPr>
        <w:rPr>
          <w:u w:val="single"/>
          <w:lang w:val="en-US"/>
        </w:rPr>
      </w:pPr>
      <w:proofErr w:type="spellStart"/>
      <w:r w:rsidRPr="003D2A22">
        <w:rPr>
          <w:u w:val="single"/>
          <w:lang w:val="en-US"/>
        </w:rPr>
        <w:t>All time</w:t>
      </w:r>
      <w:proofErr w:type="spellEnd"/>
      <w:r w:rsidRPr="003D2A22">
        <w:rPr>
          <w:u w:val="single"/>
          <w:lang w:val="en-US"/>
        </w:rPr>
        <w:t xml:space="preserve"> series studies</w:t>
      </w:r>
    </w:p>
    <w:p w14:paraId="30737378" w14:textId="77777777" w:rsidR="003E05FC" w:rsidRDefault="003E05FC" w:rsidP="003E05FC">
      <w:pPr>
        <w:rPr>
          <w:lang w:val="en-US"/>
        </w:rPr>
      </w:pPr>
      <w:r>
        <w:rPr>
          <w:lang w:val="en-US"/>
        </w:rPr>
        <w:t xml:space="preserve">Ricci: uses both standard </w:t>
      </w:r>
      <w:proofErr w:type="spellStart"/>
      <w:r>
        <w:rPr>
          <w:lang w:val="en-US"/>
        </w:rPr>
        <w:t>pearson’s</w:t>
      </w:r>
      <w:proofErr w:type="spellEnd"/>
      <w:r>
        <w:rPr>
          <w:lang w:val="en-US"/>
        </w:rPr>
        <w:t xml:space="preserve"> correlation coefficient and multilevel regression models. </w:t>
      </w:r>
    </w:p>
    <w:p w14:paraId="58218ECB" w14:textId="77777777" w:rsidR="003E05FC" w:rsidRPr="003D2A22" w:rsidRDefault="003E05FC" w:rsidP="003E05FC">
      <w:pPr>
        <w:rPr>
          <w:lang w:val="en-US"/>
        </w:rPr>
      </w:pPr>
      <w:r>
        <w:rPr>
          <w:lang w:val="en-US"/>
        </w:rPr>
        <w:t xml:space="preserve">Multilevel regression models require panel data, which </w:t>
      </w:r>
      <w:proofErr w:type="gramStart"/>
      <w:r>
        <w:rPr>
          <w:lang w:val="en-US"/>
        </w:rPr>
        <w:t>luckily</w:t>
      </w:r>
      <w:proofErr w:type="gramEnd"/>
      <w:r>
        <w:rPr>
          <w:lang w:val="en-US"/>
        </w:rPr>
        <w:t xml:space="preserve"> we have</w:t>
      </w:r>
    </w:p>
    <w:p w14:paraId="1A6FF789" w14:textId="77777777" w:rsidR="003E05FC" w:rsidRDefault="003E05FC" w:rsidP="003E05FC">
      <w:pPr>
        <w:rPr>
          <w:lang w:val="en-US"/>
        </w:rPr>
      </w:pPr>
    </w:p>
    <w:p w14:paraId="54780AED" w14:textId="77777777" w:rsidR="003E05FC" w:rsidRPr="00E169F6" w:rsidRDefault="003E05FC" w:rsidP="003E05FC">
      <w:pPr>
        <w:rPr>
          <w:lang w:val="en-US"/>
        </w:rPr>
      </w:pPr>
      <w:r>
        <w:rPr>
          <w:lang w:val="en-US"/>
        </w:rPr>
        <w:t>Spearman’s correlation: works on the ranks of the data.</w:t>
      </w:r>
    </w:p>
    <w:p w14:paraId="3B5A97CC" w14:textId="6968E3AE" w:rsidR="00BF6A4B" w:rsidRPr="003E05FC" w:rsidRDefault="00BF6A4B">
      <w:pPr>
        <w:rPr>
          <w:lang w:val="en-US"/>
        </w:rPr>
      </w:pPr>
    </w:p>
    <w:sectPr w:rsidR="00BF6A4B" w:rsidRPr="003E0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26"/>
    <w:rsid w:val="00075DDA"/>
    <w:rsid w:val="00094525"/>
    <w:rsid w:val="000A04DD"/>
    <w:rsid w:val="000B53F2"/>
    <w:rsid w:val="000C0C74"/>
    <w:rsid w:val="00110FBC"/>
    <w:rsid w:val="00135E51"/>
    <w:rsid w:val="00164D33"/>
    <w:rsid w:val="001716AD"/>
    <w:rsid w:val="001C46EB"/>
    <w:rsid w:val="001D5B12"/>
    <w:rsid w:val="001F6B0F"/>
    <w:rsid w:val="002255ED"/>
    <w:rsid w:val="00225B1A"/>
    <w:rsid w:val="00234FB6"/>
    <w:rsid w:val="00257B61"/>
    <w:rsid w:val="002915A7"/>
    <w:rsid w:val="002A718B"/>
    <w:rsid w:val="002B750F"/>
    <w:rsid w:val="002C4160"/>
    <w:rsid w:val="00344AFA"/>
    <w:rsid w:val="00373F66"/>
    <w:rsid w:val="00395975"/>
    <w:rsid w:val="00396977"/>
    <w:rsid w:val="003D1689"/>
    <w:rsid w:val="003E05FC"/>
    <w:rsid w:val="003F1504"/>
    <w:rsid w:val="003F5445"/>
    <w:rsid w:val="004F17E8"/>
    <w:rsid w:val="004F30DD"/>
    <w:rsid w:val="004F7C30"/>
    <w:rsid w:val="00513190"/>
    <w:rsid w:val="00523199"/>
    <w:rsid w:val="0055582A"/>
    <w:rsid w:val="005609F5"/>
    <w:rsid w:val="005718CC"/>
    <w:rsid w:val="005A5EA6"/>
    <w:rsid w:val="005B0854"/>
    <w:rsid w:val="005C1E96"/>
    <w:rsid w:val="005F69D3"/>
    <w:rsid w:val="00690CA3"/>
    <w:rsid w:val="006A0225"/>
    <w:rsid w:val="006A72F6"/>
    <w:rsid w:val="006C1A72"/>
    <w:rsid w:val="006F4500"/>
    <w:rsid w:val="0071574C"/>
    <w:rsid w:val="007172BF"/>
    <w:rsid w:val="00754097"/>
    <w:rsid w:val="00776AEC"/>
    <w:rsid w:val="007A1984"/>
    <w:rsid w:val="007C0F72"/>
    <w:rsid w:val="007E07C4"/>
    <w:rsid w:val="00807FEB"/>
    <w:rsid w:val="00833436"/>
    <w:rsid w:val="0087399A"/>
    <w:rsid w:val="008840BA"/>
    <w:rsid w:val="00896669"/>
    <w:rsid w:val="008F0826"/>
    <w:rsid w:val="008F2214"/>
    <w:rsid w:val="008F4418"/>
    <w:rsid w:val="008F4CBB"/>
    <w:rsid w:val="00924D43"/>
    <w:rsid w:val="009A2207"/>
    <w:rsid w:val="009E2F83"/>
    <w:rsid w:val="009E408F"/>
    <w:rsid w:val="00A340B5"/>
    <w:rsid w:val="00A362FC"/>
    <w:rsid w:val="00A41394"/>
    <w:rsid w:val="00A50EC9"/>
    <w:rsid w:val="00A60B38"/>
    <w:rsid w:val="00A61C9B"/>
    <w:rsid w:val="00A73135"/>
    <w:rsid w:val="00A779EA"/>
    <w:rsid w:val="00AB552F"/>
    <w:rsid w:val="00AE0110"/>
    <w:rsid w:val="00AE5822"/>
    <w:rsid w:val="00B1088A"/>
    <w:rsid w:val="00B12A5C"/>
    <w:rsid w:val="00B17812"/>
    <w:rsid w:val="00B20DE8"/>
    <w:rsid w:val="00B211B8"/>
    <w:rsid w:val="00B258F2"/>
    <w:rsid w:val="00B31461"/>
    <w:rsid w:val="00BD3D14"/>
    <w:rsid w:val="00BE1114"/>
    <w:rsid w:val="00BE29EE"/>
    <w:rsid w:val="00BF6A4B"/>
    <w:rsid w:val="00C03727"/>
    <w:rsid w:val="00C079AD"/>
    <w:rsid w:val="00C23D59"/>
    <w:rsid w:val="00C24AC5"/>
    <w:rsid w:val="00C532C7"/>
    <w:rsid w:val="00C6774F"/>
    <w:rsid w:val="00C96753"/>
    <w:rsid w:val="00CA6320"/>
    <w:rsid w:val="00CA769F"/>
    <w:rsid w:val="00CD6782"/>
    <w:rsid w:val="00CF4C55"/>
    <w:rsid w:val="00D00AC7"/>
    <w:rsid w:val="00D148F6"/>
    <w:rsid w:val="00D20678"/>
    <w:rsid w:val="00D35DC2"/>
    <w:rsid w:val="00D50D8E"/>
    <w:rsid w:val="00D56FEB"/>
    <w:rsid w:val="00DA58B7"/>
    <w:rsid w:val="00E06125"/>
    <w:rsid w:val="00E1746E"/>
    <w:rsid w:val="00E203B8"/>
    <w:rsid w:val="00E247B6"/>
    <w:rsid w:val="00E86896"/>
    <w:rsid w:val="00EA42B2"/>
    <w:rsid w:val="00EB4DB5"/>
    <w:rsid w:val="00EE024A"/>
    <w:rsid w:val="00EF0739"/>
    <w:rsid w:val="00EF35D8"/>
    <w:rsid w:val="00F005A1"/>
    <w:rsid w:val="00F25CF3"/>
    <w:rsid w:val="00F53743"/>
    <w:rsid w:val="00FA1C6F"/>
    <w:rsid w:val="00FC310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2E79"/>
  <w15:chartTrackingRefBased/>
  <w15:docId w15:val="{0FB74322-0175-4EF4-A0C0-4EF2DC85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743"/>
  </w:style>
  <w:style w:type="paragraph" w:styleId="Heading1">
    <w:name w:val="heading 1"/>
    <w:basedOn w:val="Normal"/>
    <w:next w:val="Normal"/>
    <w:link w:val="Heading1Char"/>
    <w:uiPriority w:val="9"/>
    <w:qFormat/>
    <w:rsid w:val="008F0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826"/>
    <w:rPr>
      <w:rFonts w:eastAsiaTheme="majorEastAsia" w:cstheme="majorBidi"/>
      <w:color w:val="272727" w:themeColor="text1" w:themeTint="D8"/>
    </w:rPr>
  </w:style>
  <w:style w:type="paragraph" w:styleId="Title">
    <w:name w:val="Title"/>
    <w:basedOn w:val="Normal"/>
    <w:next w:val="Normal"/>
    <w:link w:val="TitleChar"/>
    <w:uiPriority w:val="10"/>
    <w:qFormat/>
    <w:rsid w:val="008F0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826"/>
    <w:pPr>
      <w:spacing w:before="160"/>
      <w:jc w:val="center"/>
    </w:pPr>
    <w:rPr>
      <w:i/>
      <w:iCs/>
      <w:color w:val="404040" w:themeColor="text1" w:themeTint="BF"/>
    </w:rPr>
  </w:style>
  <w:style w:type="character" w:customStyle="1" w:styleId="QuoteChar">
    <w:name w:val="Quote Char"/>
    <w:basedOn w:val="DefaultParagraphFont"/>
    <w:link w:val="Quote"/>
    <w:uiPriority w:val="29"/>
    <w:rsid w:val="008F0826"/>
    <w:rPr>
      <w:i/>
      <w:iCs/>
      <w:color w:val="404040" w:themeColor="text1" w:themeTint="BF"/>
    </w:rPr>
  </w:style>
  <w:style w:type="paragraph" w:styleId="ListParagraph">
    <w:name w:val="List Paragraph"/>
    <w:basedOn w:val="Normal"/>
    <w:uiPriority w:val="34"/>
    <w:qFormat/>
    <w:rsid w:val="008F0826"/>
    <w:pPr>
      <w:ind w:left="720"/>
      <w:contextualSpacing/>
    </w:pPr>
  </w:style>
  <w:style w:type="character" w:styleId="IntenseEmphasis">
    <w:name w:val="Intense Emphasis"/>
    <w:basedOn w:val="DefaultParagraphFont"/>
    <w:uiPriority w:val="21"/>
    <w:qFormat/>
    <w:rsid w:val="008F0826"/>
    <w:rPr>
      <w:i/>
      <w:iCs/>
      <w:color w:val="0F4761" w:themeColor="accent1" w:themeShade="BF"/>
    </w:rPr>
  </w:style>
  <w:style w:type="paragraph" w:styleId="IntenseQuote">
    <w:name w:val="Intense Quote"/>
    <w:basedOn w:val="Normal"/>
    <w:next w:val="Normal"/>
    <w:link w:val="IntenseQuoteChar"/>
    <w:uiPriority w:val="30"/>
    <w:qFormat/>
    <w:rsid w:val="008F0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826"/>
    <w:rPr>
      <w:i/>
      <w:iCs/>
      <w:color w:val="0F4761" w:themeColor="accent1" w:themeShade="BF"/>
    </w:rPr>
  </w:style>
  <w:style w:type="character" w:styleId="IntenseReference">
    <w:name w:val="Intense Reference"/>
    <w:basedOn w:val="DefaultParagraphFont"/>
    <w:uiPriority w:val="32"/>
    <w:qFormat/>
    <w:rsid w:val="008F0826"/>
    <w:rPr>
      <w:b/>
      <w:bCs/>
      <w:smallCaps/>
      <w:color w:val="0F4761" w:themeColor="accent1" w:themeShade="BF"/>
      <w:spacing w:val="5"/>
    </w:rPr>
  </w:style>
  <w:style w:type="table" w:styleId="TableGrid">
    <w:name w:val="Table Grid"/>
    <w:basedOn w:val="TableNormal"/>
    <w:uiPriority w:val="39"/>
    <w:rsid w:val="008F0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Vayloyan</dc:creator>
  <cp:keywords/>
  <dc:description/>
  <cp:lastModifiedBy>Alec Vayloyan</cp:lastModifiedBy>
  <cp:revision>102</cp:revision>
  <dcterms:created xsi:type="dcterms:W3CDTF">2024-10-03T14:54:00Z</dcterms:created>
  <dcterms:modified xsi:type="dcterms:W3CDTF">2025-03-17T14:44:00Z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id="105WNf7P"/&gt;&lt;style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