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Advanced R Visualization Project Proposal</w:t>
      </w:r>
    </w:p>
    <w:p w:rsidR="00000000" w:rsidDel="00000000" w:rsidP="00000000" w:rsidRDefault="00000000" w:rsidRPr="00000000" w14:paraId="00000002">
      <w:pPr>
        <w:rPr/>
      </w:pPr>
      <w:r w:rsidDel="00000000" w:rsidR="00000000" w:rsidRPr="00000000">
        <w:rPr>
          <w:b w:val="1"/>
          <w:rtl w:val="0"/>
        </w:rPr>
        <w:t xml:space="preserve">Group members</w:t>
      </w: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Adnan Sevinc (437971)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Dustin Pacholleck (437968)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ab/>
      </w:r>
      <w:hyperlink r:id="rId6">
        <w:r w:rsidDel="00000000" w:rsidR="00000000" w:rsidRPr="00000000">
          <w:rPr>
            <w:color w:val="1155cc"/>
            <w:u w:val="single"/>
            <w:rtl w:val="0"/>
          </w:rPr>
          <w:t xml:space="preserve">World Happiness Report</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Source:</w:t>
      </w:r>
    </w:p>
    <w:p w:rsidR="00000000" w:rsidDel="00000000" w:rsidP="00000000" w:rsidRDefault="00000000" w:rsidRPr="00000000" w14:paraId="00000009">
      <w:pPr>
        <w:ind w:firstLine="720"/>
        <w:rPr/>
      </w:pPr>
      <w:hyperlink r:id="rId7">
        <w:r w:rsidDel="00000000" w:rsidR="00000000" w:rsidRPr="00000000">
          <w:rPr>
            <w:color w:val="1155cc"/>
            <w:u w:val="single"/>
            <w:rtl w:val="0"/>
          </w:rPr>
          <w:t xml:space="preserve">https://happiness-report.s3.amazonaws.com/2022/DataForTable2.1.xls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This year marks the 10th anniversary of the World Happiness Report, which uses global survey data to report how people evaluate their own lives in more than 150 countries worldwide. The World Happiness Report 2022 reveals a bright light in dark times.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w:t>
      </w:r>
    </w:p>
    <w:p w:rsidR="00000000" w:rsidDel="00000000" w:rsidP="00000000" w:rsidRDefault="00000000" w:rsidRPr="00000000" w14:paraId="0000000D">
      <w:pPr>
        <w:rPr>
          <w:b w:val="1"/>
        </w:rPr>
      </w:pPr>
      <w:r w:rsidDel="00000000" w:rsidR="00000000" w:rsidRPr="00000000">
        <w:rPr>
          <w:b w:val="1"/>
          <w:rtl w:val="0"/>
        </w:rPr>
        <w:t xml:space="preserve">Dataset Description: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Afghanistan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Albania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Algeria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Argentina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Armenia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Australia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Austria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Azerbaijan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Bahrain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Bangladesh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Belarus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Belgium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Belize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Bhutan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Bolivia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Bosnia and Herzegovina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Botswana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Bulgaria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Burkina Faso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Burundi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Cambodia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 African Republic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Colombia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Comoros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Congo (Brazzaville)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Congo (Kinshasa)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Costa Rica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Croatia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Cuba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Cyprus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Czechia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Denmark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Djibouti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Dominican Republic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Ecuador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Egypt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Salvador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Estonia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Eswatini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Ethiopia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Finland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Gambia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Ghana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Guatemala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Guinea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Guyana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Haiti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Honduras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Hong Kong S.A.R. of China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Hungary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Iceland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Iraq</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Ireland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Israel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Ivory Coast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Jamaica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Jordan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Kazakhstan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Kenya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Kosovo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Kuwait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Kyrgyzstan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Latvia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Lebanon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Lesotho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Liberia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Libya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Lithuania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Luxembourg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Madagascar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Malawi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Malaysia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Maldives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Mauritania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Mauritius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Mexico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Moldova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Mongolia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Montenegro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Morocco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Mozambique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Myanmar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Namibia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Nepal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Netherlands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Zealand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Nicaragua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Cyprus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Macedonia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Norway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Oman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Pakistan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Palestinian Territories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Panama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Paraguay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Peru</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Philippines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Poland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Portugal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Qatar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Romania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Rwanda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Saudi Arabia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Senegal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Serbia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Sierra Leone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Singapore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Slovakia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Slovenia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Somalia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Somaliland region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Africa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Korea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Sudan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Spain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Sri Lanka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Sudan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Suriname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Switzerland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Syria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Taiwan Province of China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Tajikistan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Thailand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Trinidad and Tobago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Tunisia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Turkey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Turkmenistan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Uganda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Ukraine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United Arab Emirates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United Kingdom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United States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Uruguay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Uzbekistan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Venezuela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Vietnam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Yemen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Zambia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 Ladder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GDP per capita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support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 life expectancy at birth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Freedom to make life choices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Generosity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Perceptions of corruption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affect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affect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Confidence in national government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ldhappiness.report/ed/2022/" TargetMode="External"/><Relationship Id="rId7" Type="http://schemas.openxmlformats.org/officeDocument/2006/relationships/hyperlink" Target="https://happiness-report.s3.amazonaws.com/2022/DataForTable2.1.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