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2A4337"/>
          <w:sz w:val="44"/>
        </w:rPr>
        <w:t>MIDYEAR CAPITAL COMMITTEE DECISION MEMO</w:t>
      </w:r>
    </w:p>
    <w:p>
      <w:r>
        <w:rPr>
          <w:rFonts w:ascii="Arial" w:hAnsi="Arial"/>
          <w:b w:val="0"/>
          <w:i w:val="0"/>
          <w:color w:val="655C55"/>
          <w:sz w:val="26"/>
        </w:rPr>
        <w:t>Fleet replacements, fabrication equipment, controls lab and warehouse capacity — July 2026 review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To: </w:t>
      </w:r>
      <w:r>
        <w:rPr>
          <w:rFonts w:ascii="Arial" w:hAnsi="Arial"/>
          <w:b w:val="0"/>
          <w:i w:val="0"/>
          <w:color w:val="222222"/>
          <w:sz w:val="22"/>
        </w:rPr>
        <w:t>Daniel Cho, CFO; Natalie Brooks, Controller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From: </w:t>
      </w:r>
      <w:r>
        <w:rPr>
          <w:rFonts w:ascii="Arial" w:hAnsi="Arial"/>
          <w:b w:val="0"/>
          <w:i w:val="0"/>
          <w:color w:val="222222"/>
          <w:sz w:val="22"/>
        </w:rPr>
        <w:t>Finance working team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Date: </w:t>
      </w:r>
      <w:r>
        <w:rPr>
          <w:rFonts w:ascii="Arial" w:hAnsi="Arial"/>
          <w:b w:val="0"/>
          <w:i w:val="0"/>
          <w:color w:val="222222"/>
          <w:sz w:val="22"/>
        </w:rPr>
        <w:t>July 1, 2026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Subject: </w:t>
      </w:r>
      <w:r>
        <w:rPr>
          <w:rFonts w:ascii="Arial" w:hAnsi="Arial"/>
          <w:b w:val="0"/>
          <w:i w:val="0"/>
          <w:color w:val="222222"/>
          <w:sz w:val="22"/>
        </w:rPr>
        <w:t>Midyear capital committee decision memo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File status: </w:t>
      </w:r>
      <w:r>
        <w:rPr>
          <w:rFonts w:ascii="Arial" w:hAnsi="Arial"/>
          <w:b w:val="0"/>
          <w:i w:val="0"/>
          <w:color w:val="222222"/>
          <w:sz w:val="22"/>
        </w:rPr>
        <w:t>Working draft / reviewer comments and evidence gaps retained</w:t>
      </w:r>
    </w:p>
    <w:p>
      <w:pPr>
        <w:shd w:fill="F3E6D5"/>
      </w:pPr>
      <w:r>
        <w:rPr>
          <w:rFonts w:ascii="Arial" w:hAnsi="Arial"/>
          <w:b/>
          <w:i w:val="0"/>
          <w:color w:val="2A4337"/>
          <w:sz w:val="20"/>
        </w:rPr>
        <w:t>WORKING DRAFT. Amounts and decisions below must be tied to the current accounting-system report and the referenced workpapers before circulation.</w:t>
      </w:r>
    </w:p>
    <w:p>
      <w:pPr>
        <w:pStyle w:val="Heading1"/>
      </w:pPr>
      <w:r>
        <w:t>Decision requested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Approve only safety-critical replacements and the controls test bench in the base case.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Hold warehouse racking until backlog conversion and lease-renewal timing are confirmed.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Require purchase-order and in-service-date evidence before releasing depreciation forecast changes.</w:t>
      </w:r>
    </w:p>
    <w:p>
      <w:pPr>
        <w:pStyle w:val="Heading1"/>
      </w:pPr>
      <w:r>
        <w:t>Financial evaluation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Compare cash purchase, equipment note and lease alternatives using after-tax cash flows.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Use service hours and avoided rentals for utilization benefits; exclude uncommitted revenue uplift.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Stress-test residual value, maintenance, fuel and technician availability rather than relying on vendor payback claims.</w:t>
      </w:r>
    </w:p>
    <w:p>
      <w:pPr>
        <w:pStyle w:val="Heading1"/>
      </w:pPr>
      <w:r>
        <w:t>Operating constraints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Three service vans have repair histories above replacement threshold.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The pipe machine removes a documented fabrication bottleneck but requires electrical work not in the quote.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Controls bench supports commissioning quality; headcount and training plan remain prerequisites.</w:t>
      </w:r>
    </w:p>
    <w:p>
      <w:pPr>
        <w:pStyle w:val="Heading1"/>
      </w:pPr>
      <w:r>
        <w:t>Funding and governance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Sequence approved spend against the 13-week cash forecast and lender availability.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Capex owner must reconcile invoice, PO, asset tag and placed-in-service date.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No request is approved by this memo; CFO signature block remains intentionally blank.</w:t>
      </w:r>
    </w:p>
    <w:p>
      <w:pPr>
        <w:pStyle w:val="Heading1"/>
      </w:pPr>
      <w:r>
        <w:t>Appendix A — request register and evidence gaps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50"/>
        <w:gridCol w:w="1450"/>
        <w:gridCol w:w="1200"/>
        <w:gridCol w:w="4860"/>
      </w:tblGrid>
      <w:tr>
        <w:trPr>
          <w:tblHeader w:val="true"/>
        </w:trPr>
        <w:tc>
          <w:tcPr>
            <w:tcW w:type="dxa" w:w="10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</w:t>
            </w:r>
          </w:p>
        </w:tc>
        <w:tc>
          <w:tcPr>
            <w:tcW w:type="dxa" w:w="8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4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Working amount</w:t>
            </w:r>
          </w:p>
        </w:tc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86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note / evidence still needed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CX-26-017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Service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$186,000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Approved - safety/reliability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Three service vans; funding Equipment line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CX-26-021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Fabrication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$248,000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Hold - electrical scope missing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CNC pipe profiling machine; funding TBD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CX-26-024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Controls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$92,000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Approved subject to training plan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Controls commissioning bench; funding Cash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CX-26-026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Operations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$168,000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Deferred pending lease decision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Warehouse racking expansion; funding TBD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CX-26-029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IT / Operations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$38,400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Approved replacement cycle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Field tablets - 24; funding Cash</w:t>
            </w:r>
          </w:p>
        </w:tc>
      </w:tr>
    </w:tbl>
    <w:p>
      <w:pPr>
        <w:pStyle w:val="Heading2"/>
      </w:pPr>
      <w:r>
        <w:t>Source / version trail</w:t>
      </w:r>
    </w:p>
    <w:p>
      <w:r>
        <w:rPr>
          <w:rFonts w:ascii="Arial" w:hAnsi="Arial"/>
          <w:b w:val="0"/>
          <w:i w:val="0"/>
          <w:color w:val="655C55"/>
          <w:sz w:val="18"/>
        </w:rPr>
        <w:t>• 6/27 — first owner inputs combined; duplicate lines retained.</w:t>
      </w:r>
    </w:p>
    <w:p>
      <w:r>
        <w:rPr>
          <w:rFonts w:ascii="Arial" w:hAnsi="Arial"/>
          <w:b w:val="0"/>
          <w:i w:val="0"/>
          <w:color w:val="655C55"/>
          <w:sz w:val="18"/>
        </w:rPr>
        <w:t>• 6/30 — accounting extract refreshed; late AP batch not yet incorporated.</w:t>
      </w:r>
    </w:p>
    <w:p>
      <w:r>
        <w:rPr>
          <w:rFonts w:ascii="Arial" w:hAnsi="Arial"/>
          <w:b w:val="0"/>
          <w:i w:val="0"/>
          <w:color w:val="655C55"/>
          <w:sz w:val="18"/>
        </w:rPr>
        <w:t>• 7/1 — controller comments added; approval and signature sections remain blank.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5C5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55C55"/>
        <w:sz w:val="17"/>
      </w:rPr>
      <w:t>ALDER RIDGE MECHANICAL  •  CAPITAL COMMITTEE  •  MW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9B6A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9B6A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A76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Midyear capital committee decision memo</dc:title>
  <dc:subject/>
  <dc:creator>Alder Ridge Mechanical - Finance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