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60" w:lineRule="exact" w:after="80"/>
        <w:jc w:val="center"/>
      </w:pPr>
      <w:r>
        <w:rPr>
          <w:rFonts w:ascii="Calibri" w:hAnsi="Calibri"/>
          <w:b/>
          <w:color w:val="2A4337"/>
          <w:sz w:val="44"/>
        </w:rPr>
        <w:t>CAPITAL MARKETS AND COMPETITOR ANALYSIS</w:t>
        <w:br/>
        <w:t>REVIEW NOTES AND DECISIONS</w:t>
      </w:r>
    </w:p>
    <w:p>
      <w:pPr>
        <w:jc w:val="center"/>
      </w:pPr>
      <w:r>
        <w:t>Alder Ridge Mechanical • Review through July 5, 2026 • Internal working paper</w:t>
      </w:r>
    </w:p>
    <w:p>
      <w:pPr>
        <w:pStyle w:val="Heading1"/>
      </w:pPr>
      <w:r>
        <w:t>Current files and prior versions</w:t>
      </w:r>
    </w:p>
    <w:p>
      <w:r>
        <w:t>Use the controller-reviewed workbook for the current analysis. The earlier workbook remains available to trace changes and management proposals but is not an approved substitute. Raw exports retain their stated cutoff. Reconcile posted Alder Ridge balances through Vista ERP.</w:t>
      </w:r>
    </w:p>
    <w:p>
      <w:pPr>
        <w:pStyle w:val="Heading1"/>
      </w:pPr>
      <w:r>
        <w:t>Workstream index</w:t>
      </w:r>
    </w:p>
    <w:tbl>
      <w:tblPr>
        <w:tblW w:type="dxa" w:w="9360"/>
        <w:jc w:val="center"/>
        <w:tblLayout w:type="fixed"/>
        <w:tblLook w:firstColumn="1" w:firstRow="1" w:lastColumn="0" w:lastRow="0" w:noHBand="0" w:noVBand="1" w:val="04A0"/>
        <w:tblInd w:w="120" w:type="dxa"/>
        <w:tblBorders>
          <w:left w:val="nil"/>
          <w:right w:val="nil"/>
          <w:insideH w:val="nil"/>
          <w:insideV w:val="nil"/>
          <w:top w:val="single" w:sz="8" w:space="0" w:color="000000"/>
          <w:bottom w:val="single" w:sz="8" w:space="0" w:color="000000"/>
        </w:tblBorders>
      </w:tblPr>
      <w:tblGrid>
        <w:gridCol w:w="3120"/>
        <w:gridCol w:w="3120"/>
        <w:gridCol w:w="3120"/>
      </w:tblGrid>
      <w:tr>
        <w:trPr>
          <w:tblHeader w:val="true"/>
        </w:trPr>
        <w:tc>
          <w:tcPr>
            <w:tcW w:type="dxa" w:w="30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Analysis</w:t>
            </w:r>
          </w:p>
        </w:tc>
        <w:tc>
          <w:tcPr>
            <w:tcW w:type="dxa" w:w="426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Primary schedules</w:t>
            </w:r>
          </w:p>
        </w:tc>
        <w:tc>
          <w:tcPr>
            <w:tcW w:type="dxa" w:w="21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System tie</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Corporate weighted-average cost of capital</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Peer beta set, WACC policy</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Public-company trading-comparables valuation</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Target metrics, Trading comparables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Competitor operating benchmark</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Alder Ridge benchmark, Peer operating benchmarks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P&amp;L, 2025-07-01 through 2026-06-30; Revenue total</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Commercial service market sizing</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Delivery model, Market segment assumptions, Sensitivity register</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color w:val="000000"/>
                <w:sz w:val="22"/>
              </w:rPr>
              <w:t>Peer valuation multiple bridge</w:t>
            </w:r>
          </w:p>
        </w:tc>
        <w:tc>
          <w:tcPr>
            <w:tcW w:type="dxa" w:w="426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Alder Ridge valuation, Multiple bridge, Peer valuation set</w:t>
            </w:r>
          </w:p>
        </w:tc>
        <w:tc>
          <w:tcPr>
            <w:tcW w:type="dxa" w:w="21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Vista ERP P&amp;L plus general-ledger account 6700; Revenue less Cost of Revenue and Operating Expense plus Depreciation</w:t>
            </w:r>
          </w:p>
        </w:tc>
      </w:tr>
    </w:tbl>
    <w:p>
      <w:pPr>
        <w:pStyle w:val="Heading1"/>
      </w:pPr>
      <w:r>
        <w:t>Review decisions by analysis</w:t>
      </w:r>
    </w:p>
    <w:p>
      <w:pPr>
        <w:pStyle w:val="Heading2"/>
      </w:pPr>
      <w:r>
        <w:t>Corporate weighted-average cost of capital</w:t>
      </w:r>
    </w:p>
    <w:p>
      <w:r>
        <w:t>Decision 1: Exclude the documented outlier, unlever each included peer with its own debt-to-equity and tax rate, then take the median.</w:t>
      </w:r>
    </w:p>
    <w:p>
      <w:r>
        <w:t>Decision 2: Relever the median to Alder Ridge's target capital structure; cost of equity includes risk-free, beta times ERP, and size premium.</w:t>
      </w:r>
    </w:p>
    <w:p>
      <w:r>
        <w:t>Decision 3: Weight after-tax debt and equity costs using the target debt weight, then add the project risk premium only to the project hurdle.</w:t>
      </w:r>
    </w:p>
    <w:p>
      <w:pPr>
        <w:pStyle w:val="Heading2"/>
      </w:pPr>
      <w:r>
        <w:t>Public-company trading-comparables valuation</w:t>
      </w:r>
    </w:p>
    <w:p>
      <w:r>
        <w:t>Decision 1: Exclude the documented non-comparable outlier before calculating either median.</w:t>
      </w:r>
    </w:p>
    <w:p>
      <w:r>
        <w:t>Decision 2: Apply the median multiples to the target's corresponding LTM metrics, then weight the two enterprise values 70%/30%.</w:t>
      </w:r>
    </w:p>
    <w:p>
      <w:r>
        <w:t>Decision 3: Subtract target net debt only after the weighted enterprise-value conclusion.</w:t>
      </w:r>
    </w:p>
    <w:p>
      <w:pPr>
        <w:pStyle w:val="Heading2"/>
      </w:pPr>
      <w:r>
        <w:t>Competitor operating benchmark</w:t>
      </w:r>
    </w:p>
    <w:p>
      <w:r>
        <w:t>Decision 1: Calculate simple medians across all six approved peers for each operating KPI.</w:t>
      </w:r>
    </w:p>
    <w:p>
      <w:r>
        <w:t>Decision 2: Percentile equals the share of peers at or below Alder Ridge's result; do not interpolate between observations.</w:t>
      </w:r>
    </w:p>
    <w:p>
      <w:r>
        <w:t>Decision 3: EBITDA improvement applies the positive margin gap to posted LTM Alder Ridge revenue.</w:t>
      </w:r>
    </w:p>
    <w:p>
      <w:pPr>
        <w:pStyle w:val="Heading2"/>
      </w:pPr>
      <w:r>
        <w:t>Commercial service market sizing</w:t>
      </w:r>
    </w:p>
    <w:p>
      <w:r>
        <w:t>Decision 1: TAM equals sites times annual spend; SAM then applies both outsourced penetration and geographic/capability serviceability by segment.</w:t>
      </w:r>
    </w:p>
    <w:p>
      <w:r>
        <w:t>Decision 2: Year 3 obtainable market applies each segment's own obtainable share; do not use a blended share before segment calculation. Report `three_year_obtainable_market` as the resulting dollar market amount, not as a share percentage; `year_three_revenue` is the same dollar amount under this capture case.</w:t>
      </w:r>
    </w:p>
    <w:p>
      <w:r>
        <w:t>Decision 3: Technician requirement rounds up Year 3 revenue divided by productive revenue capacity; rank sensitivities by absolute revenue swing.</w:t>
      </w:r>
    </w:p>
    <w:p>
      <w:pPr>
        <w:pStyle w:val="Heading2"/>
      </w:pPr>
      <w:r>
        <w:t>Peer valuation multiple bridge</w:t>
      </w:r>
    </w:p>
    <w:p>
      <w:r>
        <w:t>Decision 1: Observed discount equals peer median less the current Alder Ridge multiple.</w:t>
      </w:r>
    </w:p>
    <w:p>
      <w:r>
        <w:t>Decision 2: Supported multiple starts from the peer median and applies each signed bridge adjustment exactly once; it is not the observed multiple plus adjustments.</w:t>
      </w:r>
    </w:p>
    <w:p>
      <w:r>
        <w:t>Decision 3: Apply the supported multiple to posted adjusted EBITDA, then subtract net debt and divide by diluted shares.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6"/>
      </w:rPr>
      <w:t xml:space="preserve">Internal finance working paper | Page </w:t>
    </w:r>
    <w:r>
      <w:rPr>
        <w:rFonts w:ascii="Calibri" w:hAnsi="Calibri"/>
        <w:color w:val="5F636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368"/>
        <w:sz w:val="16"/>
      </w:rPr>
      <w:t>ALDER RIDGE MECHANICAL • CAPITAL MARKETS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A433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A4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