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A4337"/>
          <w:sz w:val="44"/>
        </w:rPr>
        <w:t>2026 INSURANCE AND SURETY RENEWAL EXPOSURE NOTES</w:t>
      </w:r>
    </w:p>
    <w:p>
      <w:r>
        <w:rPr>
          <w:rFonts w:ascii="Arial" w:hAnsi="Arial"/>
          <w:b w:val="0"/>
          <w:i w:val="0"/>
          <w:color w:val="655C55"/>
          <w:sz w:val="26"/>
        </w:rPr>
        <w:t>Broker call follow-up covering payroll, fleet, backlog, claims, bonding and forecast assumptions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To: </w:t>
      </w:r>
      <w:r>
        <w:rPr>
          <w:rFonts w:ascii="Arial" w:hAnsi="Arial"/>
          <w:b w:val="0"/>
          <w:i w:val="0"/>
          <w:color w:val="222222"/>
          <w:sz w:val="22"/>
        </w:rPr>
        <w:t>Daniel Cho, CFO; Natalie Brooks, Controller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From: </w:t>
      </w:r>
      <w:r>
        <w:rPr>
          <w:rFonts w:ascii="Arial" w:hAnsi="Arial"/>
          <w:b w:val="0"/>
          <w:i w:val="0"/>
          <w:color w:val="222222"/>
          <w:sz w:val="22"/>
        </w:rPr>
        <w:t>Finance working team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Date: </w:t>
      </w:r>
      <w:r>
        <w:rPr>
          <w:rFonts w:ascii="Arial" w:hAnsi="Arial"/>
          <w:b w:val="0"/>
          <w:i w:val="0"/>
          <w:color w:val="222222"/>
          <w:sz w:val="22"/>
        </w:rPr>
        <w:t>July 1, 2026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Subject: </w:t>
      </w:r>
      <w:r>
        <w:rPr>
          <w:rFonts w:ascii="Arial" w:hAnsi="Arial"/>
          <w:b w:val="0"/>
          <w:i w:val="0"/>
          <w:color w:val="222222"/>
          <w:sz w:val="22"/>
        </w:rPr>
        <w:t>2026 insurance and surety renewal exposure notes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File status: </w:t>
      </w:r>
      <w:r>
        <w:rPr>
          <w:rFonts w:ascii="Arial" w:hAnsi="Arial"/>
          <w:b w:val="0"/>
          <w:i w:val="0"/>
          <w:color w:val="222222"/>
          <w:sz w:val="22"/>
        </w:rPr>
        <w:t>Working draft / reviewer comments and evidence gaps retained</w:t>
      </w:r>
    </w:p>
    <w:p>
      <w:pPr>
        <w:shd w:fill="F3E6D5"/>
      </w:pPr>
      <w:r>
        <w:rPr>
          <w:rFonts w:ascii="Arial" w:hAnsi="Arial"/>
          <w:b/>
          <w:i w:val="0"/>
          <w:color w:val="2A4337"/>
          <w:sz w:val="20"/>
        </w:rPr>
        <w:t>WORKING DRAFT. Amounts and decisions below must be tied to the current accounting-system report and the referenced workpapers before circulation.</w:t>
      </w:r>
    </w:p>
    <w:p>
      <w:pPr>
        <w:pStyle w:val="Heading1"/>
      </w:pPr>
      <w:r>
        <w:t>Exposure bases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Payroll, revenue, vehicle count and subcontract cost require reconciliation to the current forecast.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Backlog schedule uses project names that differ from the broker application and surety job list.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Central Oregon activity must be separated where rating classifications differ.</w:t>
      </w:r>
    </w:p>
    <w:p>
      <w:pPr>
        <w:pStyle w:val="Heading1"/>
      </w:pPr>
      <w:r>
        <w:t>Claims and loss runs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Two open auto matters remain below retention but need current reserve commentary.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Workers compensation loss-run totals differ from the internal incident tracker by one closed claim.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No financial-statement reserve adjustment is recommended without carrier or counsel evidence.</w:t>
      </w:r>
    </w:p>
    <w:p>
      <w:pPr>
        <w:pStyle w:val="Heading1"/>
      </w:pPr>
      <w:r>
        <w:t>Bonding capacity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Surety work-on-hand calculation should use current contract value and remaining cost, not gross billings.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Pending awards are disclosed but excluded from committed backlog until execution.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Quarterly lender and surety packages should reconcile funded debt, net worth and WIP totals.</w:t>
      </w:r>
    </w:p>
    <w:p>
      <w:pPr>
        <w:pStyle w:val="Heading1"/>
      </w:pPr>
      <w:r>
        <w:t>Next actions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Controller to sign exposure reconciliation after June close.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Operations to confirm fleet additions, disposals and high-value rented equipment.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CFO to approve requested limits and deductible alternatives before broker submission.</w:t>
      </w:r>
    </w:p>
    <w:p>
      <w:pPr>
        <w:pStyle w:val="Heading1"/>
      </w:pPr>
      <w:r>
        <w:t>Appendix — exposure reconciliation and open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50"/>
        <w:gridCol w:w="1450"/>
        <w:gridCol w:w="1200"/>
        <w:gridCol w:w="4860"/>
      </w:tblGrid>
      <w:tr>
        <w:trPr>
          <w:tblHeader w:val="true"/>
        </w:trPr>
        <w:tc>
          <w:tcPr>
            <w:tcW w:type="dxa" w:w="10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</w:t>
            </w:r>
          </w:p>
        </w:tc>
        <w:tc>
          <w:tcPr>
            <w:tcW w:type="dxa" w:w="8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4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Working amount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8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note / evidence still needed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POL-01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Travelers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$284,000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Broker draft - bind pending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Commercial general liability; 2026-07-01 to 2027-07-01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POL-02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Travelers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$196,000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Fleet reconciliation open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Business auto; 2026-07-01 to 2027-07-01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POL-03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SAIF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$442,000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Payroll exposure 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Workers compensation; 2026-07-01 to 2027-07-01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POL-04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Chubb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$138,000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Quoted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Umbrella; 2026-07-01 to 2027-07-01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POL-05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Travelers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$82,000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Equipment schedule open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Inland marine / tools; 2026-07-01 to 2027-07-01</w:t>
            </w:r>
          </w:p>
        </w:tc>
      </w:tr>
    </w:tbl>
    <w:p>
      <w:pPr>
        <w:pStyle w:val="Heading2"/>
      </w:pPr>
      <w:r>
        <w:t>Source / version trail</w:t>
      </w:r>
    </w:p>
    <w:p>
      <w:r>
        <w:rPr>
          <w:rFonts w:ascii="Arial" w:hAnsi="Arial"/>
          <w:b w:val="0"/>
          <w:i w:val="0"/>
          <w:color w:val="655C55"/>
          <w:sz w:val="18"/>
        </w:rPr>
        <w:t>• 6/27 — first owner inputs combined; duplicate lines retained.</w:t>
      </w:r>
    </w:p>
    <w:p>
      <w:r>
        <w:rPr>
          <w:rFonts w:ascii="Arial" w:hAnsi="Arial"/>
          <w:b w:val="0"/>
          <w:i w:val="0"/>
          <w:color w:val="655C55"/>
          <w:sz w:val="18"/>
        </w:rPr>
        <w:t>• 6/30 — accounting extract refreshed; late AP batch not yet incorporated.</w:t>
      </w:r>
    </w:p>
    <w:p>
      <w:r>
        <w:rPr>
          <w:rFonts w:ascii="Arial" w:hAnsi="Arial"/>
          <w:b w:val="0"/>
          <w:i w:val="0"/>
          <w:color w:val="655C55"/>
          <w:sz w:val="18"/>
        </w:rPr>
        <w:t>• 7/1 — controller comments added; approval and signature sections remain blank.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ALDER RIDGE MECHANICAL  •  INSURANCE RENEWAL  •  NB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insurance and surety renewal exposure notes</dc:title>
  <dc:subject/>
  <dc:creator>Alder Ridge Mechanical - Finance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