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CAPITAL COMMITTEE AND LONG-RANGE PLAN</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FY27 capital-project portfolio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Capital project cases, Portfolio constraints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Boise branch expansion business case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Boise investment assumptions, Boise operating case</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Fleet replacement financing alternative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Fleet financing terms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five-year long-range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LRP opening balances, LRP scenario drivers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 Vista ERP P&amp;L, 2025-07-01 through 2026-06-30; Operating Expense total;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Shareholder distribution capacity</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Distribution constraints, Opening balances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strategic capital-allocation memorandum</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Alternative uses, Capital capacity, Risk cases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Repurchase-versus-debt-paydown decision</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Capital return alternatives, Capital return baseline, Capital return policy, Two-year capital return cadence, Two-year capital return policy</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balance sheet as of 2026-06-30; accounts 2200, 2210, and 2300</w:t>
            </w:r>
          </w:p>
        </w:tc>
      </w:tr>
    </w:tbl>
    <w:p>
      <w:pPr>
        <w:pStyle w:val="Heading1"/>
      </w:pPr>
      <w:r>
        <w:t>Review decisions by analysis</w:t>
      </w:r>
    </w:p>
    <w:p>
      <w:pPr>
        <w:pStyle w:val="Heading2"/>
      </w:pPr>
      <w:r>
        <w:t>FY27 capital-project portfolio model</w:t>
      </w:r>
    </w:p>
    <w:p>
      <w:r>
        <w:t>Decision 1: Build after-tax annual cash flows from EBITDA, depreciation tax shield, working capital, and terminal recovery before calculating NPV.</w:t>
      </w:r>
    </w:p>
    <w:p>
      <w:r>
        <w:t>Decision 2: Select the highest-NPV feasible portfolio; mandatory safety projects must be included even if their standalone NPV is lower.</w:t>
      </w:r>
    </w:p>
    <w:p>
      <w:r>
        <w:t>Decision 3: Enforce cash capex, eligible-debt, and technician-capacity constraints simultaneously; do not rank only by standalone NPV.</w:t>
      </w:r>
    </w:p>
    <w:p>
      <w:pPr>
        <w:pStyle w:val="Heading2"/>
      </w:pPr>
      <w:r>
        <w:t>Boise branch expansion business case</w:t>
      </w:r>
    </w:p>
    <w:p>
      <w:r>
        <w:t>Decision 1: Model only incremental Boise economics; the supplied corporate allocation is explicitly excluded.</w:t>
      </w:r>
    </w:p>
    <w:p>
      <w:r>
        <w:t>Decision 2: Invest working capital at the stated percent of revenue and release it in Year 6 together with terminal capex recovery.</w:t>
      </w:r>
    </w:p>
    <w:p>
      <w:r>
        <w:t>Decision 3: Use discounted cash flows for payback; return null if cumulative discounted cash flow never recovers the opening investment within the six-year forecast. Solve Year 3 EBITDA break-even jobs per technician from the local cost structure.</w:t>
      </w:r>
    </w:p>
    <w:p>
      <w:pPr>
        <w:pStyle w:val="Heading2"/>
      </w:pPr>
      <w:r>
        <w:t>Fleet replacement financing alternative</w:t>
      </w:r>
    </w:p>
    <w:p>
      <w:r>
        <w:t>Decision 1: Compare all alternatives on after-tax present-value cash cost over exactly 60 months.</w:t>
      </w:r>
    </w:p>
    <w:p>
      <w:r>
        <w:t>Decision 2: For the loan, deduct only the interest tax shield; principal is not tax-deductible.</w:t>
      </w:r>
    </w:p>
    <w:p>
      <w:r>
        <w:t>Decision 3: For ownership alternatives include after-tax maintenance and after-tax resale; lease payments and lease maintenance are deductible.</w:t>
      </w:r>
    </w:p>
    <w:p>
      <w:pPr>
        <w:pStyle w:val="Heading2"/>
      </w:pPr>
      <w:r>
        <w:t>five-year long-range plan</w:t>
      </w:r>
    </w:p>
    <w:p>
      <w:r>
        <w:t>Decision 1: Roll revenue, fixed opex, working capital, debt, and cash sequentially for each scenario; do not overwrite the downside or upside with a base-case percentage.</w:t>
      </w:r>
    </w:p>
    <w:p>
      <w:r>
        <w:t>Decision 2: Free cash flow precedes debt repayment and financing; the minimum-cash financing plug is the final step.</w:t>
      </w:r>
    </w:p>
    <w:p>
      <w:r>
        <w:t>Decision 3: Debt and cash must roll forward year by year and the downside output is the maximum single-year financing plug.</w:t>
      </w:r>
    </w:p>
    <w:p>
      <w:pPr>
        <w:pStyle w:val="Heading2"/>
      </w:pPr>
      <w:r>
        <w:t>Shareholder distribution capacity</w:t>
      </w:r>
    </w:p>
    <w:p>
      <w:r>
        <w:t>Decision 1: Calculate each distribution constraint independently; a positive result under one test cannot offset a tighter test.</w:t>
      </w:r>
    </w:p>
    <w:p>
      <w:r>
        <w:t>Decision 2: Roll FY27 pre-distribution cash from posted opening unrestricted cash plus operating cash generation before capex and amortization, less funded capex and required debt amortization; retain both minimum operating cash and the downside liquidity reserve.</w:t>
      </w:r>
    </w:p>
    <w:p>
      <w:r>
        <w:t>Decision 3: Reduce forecast funded debt by required FY27 amortization before testing leverage. Treat the shareholder distribution itself as the incremental fixed charge in the FCCR capacity test.</w:t>
      </w:r>
    </w:p>
    <w:p>
      <w:r>
        <w:t>Decision 4: Maximum distribution is the minimum nonnegative headroom across cash, leverage, FCCR, tangible net worth, and surety working capital.</w:t>
      </w:r>
    </w:p>
    <w:p>
      <w:pPr>
        <w:pStyle w:val="Heading2"/>
      </w:pPr>
      <w:r>
        <w:t>FY27 strategic capital-allocation memorandum</w:t>
      </w:r>
    </w:p>
    <w:p>
      <w:r>
        <w:t>Decision 1: Available capacity is the lower of the board deployment cap and cash plus FCF above minimum cash plus approved growth revolver headroom.</w:t>
      </w:r>
    </w:p>
    <w:p>
      <w:r>
        <w:t>Decision 2: Use posted funded debt from the Vista ERP, not the superseded $8.5 million planning placeholder; debt reduction cannot exceed posted debt.</w:t>
      </w:r>
    </w:p>
    <w:p>
      <w:r>
        <w:t>Decision 3: Apply every decision gate independently. Shareholder distributions are zero if any minimum-cash, downside-prudence, leverage, covenant, or return gate fails; total uses may not exceed available capacity.</w:t>
      </w:r>
    </w:p>
    <w:p>
      <w:r>
        <w:t>Decision 4: Pro forma leverage reduces posted debt for debt repayment and adds acquisition debt capacity. Exclude unvalidated debt-paydown value creation and report Downside cash before mitigation, not Severe Downside.</w:t>
      </w:r>
    </w:p>
    <w:p>
      <w:pPr>
        <w:pStyle w:val="Heading2"/>
      </w:pPr>
      <w:r>
        <w:t>Repurchase-versus-debt-paydown decision</w:t>
      </w:r>
    </w:p>
    <w:p>
      <w:r>
        <w:t>Decision 1: Cap debt paydown at posted funded debt from the Vista ERP and calculate after-tax interest savings.</w:t>
      </w:r>
    </w:p>
    <w:p>
      <w:r>
        <w:t>Decision 2: Deduct after-tax foregone cash yield for all deployed cash and reduce diluted shares only for actual repurchases.</w:t>
      </w:r>
    </w:p>
    <w:p>
      <w:r>
        <w:t>Decision 3: Test deployable cash, minimum ending cash, leverage, trading-volume, and EPS-accretion guardrails independently.</w:t>
      </w:r>
    </w:p>
    <w:p>
      <w:r>
        <w:t>Decision 4: The minimum EPS-accretion guardrail applies to every alternative, including a pure debt-paydown alternative; the trading-volume guardrail applies to shares actually repurchased.</w:t>
      </w:r>
    </w:p>
    <w:p>
      <w:r>
        <w:t>Decision 5: Recommend the feasible alternative with the greatest EPS accretion; do not assume the largest nominal repurchase is executable.</w:t>
      </w:r>
    </w:p>
    <w:p>
      <w:r>
        <w:t>Decision 6: Optimize a two-year capital-return cadence rather than a one-period headline. Roll cash, funded debt, diluted shares, interest savings, foregone yield, share-price escalation, and per-year trading-volume capacity.</w:t>
      </w:r>
    </w:p>
    <w:p>
      <w:r>
        <w:t>Decision 7: Reject any cadence that fails either year's cash, debt, volume, leverage, or EPS gate, then recommend the feasible plan with the highest FY28 EPS accretion and report both-year execution metrics.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CAPITAL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