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FY26 TAX PROVISION AND CONTROLLERSHIP DEFINITIONS</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annual income-tax provision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Deferred tax inventory, FY26 provision state apportionment, Tax Adjustments, Tax policy, Trial Balance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Quarterly cash-tax and estimated-payment forecast</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Estimated-payment policy, Quarterly taxable-income forecast</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Multistate income-tax apportionment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Apportionment policy, State apportionment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Adjusted EBITDA and non-GAAP reconciliation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GAAP bridge, Non-GAAP adjustment register, Posted P&amp;L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plus general-ledger account 6700; Revenue less Cost of Revenue and Operating Expense plus Depreciation;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Service deferred-revenue recognition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Contract schedule, Deferred revenue tie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service agreements active at 2026-06-30; annual value</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Deferred tax, NOL, and Section 163(j) roll-forward</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Deferred tax temporary differences, Federal NOL vintages, Tax attribute forecast, Tax provision rollforward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Contract modification, SSP, and revenue bridge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Contract modification facts, Contract performance obligations, Post-modification revenue schedule, Post-modification variable consideration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Free-cash-flow and non-GAAP policy reconciliation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Downside definition forecast, Free cash flow inputs, Non-GAAP reconciliation items, Reporting definition controls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Stock-versus-asset transaction tax structure</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Tax step-up asset classes, Transaction tax structure</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annual income-tax provision model</w:t>
      </w:r>
    </w:p>
    <w:p>
      <w:r>
        <w:t>Decision 1: Rebuild pretax book income from the trial balance and apply permanent, temporary, and current-only adjustments to current taxable income as labeled.</w:t>
      </w:r>
    </w:p>
    <w:p>
      <w:r>
        <w:t>Decision 2: Current tax equals federal current tax plus state current tax calculated from the approved 50%-sales, 25%-property, 25%-payroll apportionment and state NOL limits; do not replace it with a generic blended state-rate add-on.</w:t>
      </w:r>
    </w:p>
    <w:p>
      <w:r>
        <w:t>Decision 3: Measure temporary-difference DTA, state-credit DTA, valuation allowance, net DTA, and DTL separately at their stated enacted rates.</w:t>
      </w:r>
    </w:p>
    <w:p>
      <w:r>
        <w:t>Decision 4: Present deferred tax expense as positive and a deferred tax benefit as negative. It equals the change in net deferred tax liability; total provision equals current tax plus deferred tax expense and must reconcile to pretax book income.</w:t>
      </w:r>
    </w:p>
    <w:p>
      <w:pPr>
        <w:pStyle w:val="Heading2"/>
      </w:pPr>
      <w:r>
        <w:t>Quarterly cash-tax and estimated-payment forecast</w:t>
      </w:r>
    </w:p>
    <w:p>
      <w:r>
        <w:t>Decision 1: Calculate each quarterly federal and state payment from its own taxable-income forecast, credits, and safe-harbor percentage.</w:t>
      </w:r>
    </w:p>
    <w:p>
      <w:r>
        <w:t>Decision 2: Apply opening federal prepaid and state payable only to the first forecast payment.</w:t>
      </w:r>
    </w:p>
    <w:p>
      <w:r>
        <w:t>Decision 3: Ending payable/prepaid reconciles full-year forecast tax liability with opening positions and the four estimated payments.</w:t>
      </w:r>
    </w:p>
    <w:p>
      <w:pPr>
        <w:pStyle w:val="Heading2"/>
      </w:pPr>
      <w:r>
        <w:t>Multistate income-tax apportionment</w:t>
      </w:r>
    </w:p>
    <w:p>
      <w:r>
        <w:t>Decision 1: Calculate each state's three-factor apportionment with 50% sales, 25% property, and 25% payroll weights.</w:t>
      </w:r>
    </w:p>
    <w:p>
      <w:r>
        <w:t>Decision 2: Apply the state statutory rate to apportioned income, then use NOLs subject to the 80% state-income limit.</w:t>
      </w:r>
    </w:p>
    <w:p>
      <w:r>
        <w:t>Decision 3: The blended rate is net state tax divided by total apportionable income; rank jurisdictions by net state tax.</w:t>
      </w:r>
    </w:p>
    <w:p>
      <w:pPr>
        <w:pStyle w:val="Heading2"/>
      </w:pPr>
      <w:r>
        <w:t>Adjusted EBITDA and non-GAAP reconciliation</w:t>
      </w:r>
    </w:p>
    <w:p>
      <w:r>
        <w:t>Decision 1: Reconcile GAAP net income to posted EBITDA using D&amp;A, interest, and income tax expense.</w:t>
      </w:r>
    </w:p>
    <w:p>
      <w:r>
        <w:t>Decision 2: Apply the non-GAAP policy conclusions exactly; ordinary ERP implementation and recruiting costs remain in adjusted EBITDA.</w:t>
      </w:r>
    </w:p>
    <w:p>
      <w:r>
        <w:t>Decision 3: Adjusted EBITDA margin uses posted LTM revenue, and the largest rejected item is ranked by proposed dollar adjustment.</w:t>
      </w:r>
    </w:p>
    <w:p>
      <w:pPr>
        <w:pStyle w:val="Heading2"/>
      </w:pPr>
      <w:r>
        <w:t>Service deferred-revenue recognition forecast</w:t>
      </w:r>
    </w:p>
    <w:p>
      <w:r>
        <w:t>Decision 1: Allocate each contract's transaction price to maintenance, monitoring, and implementation in proportion to the three stated standalone selling prices.</w:t>
      </w:r>
    </w:p>
    <w:p>
      <w:r>
        <w:t>Decision 2: Recognize implementation once, on its documented completion date. Recognize maintenance and monitoring ratably by actual calendar day from the inclusive service-coverage start through end dates; H2 is July 1 through December 31, 2026.</w:t>
      </w:r>
    </w:p>
    <w:p>
      <w:r>
        <w:t>Decision 3: Apply a cancellation only when the contract schedule states an effective date; no listed contract cancels before December 31, 2026. Ending deferred revenue equals advance billings less cumulative allocated revenue recognized through December 31, contract by contract.</w:t>
      </w:r>
    </w:p>
    <w:p>
      <w:r>
        <w:t>Decision 4: Use the Vista ERP to reconcile the active contract population and ARR. Derive opening deferred revenue from advance billings less pre-July contract-schedule recognition; do not treat ARR as a deferred-revenue balance.</w:t>
      </w:r>
    </w:p>
    <w:p>
      <w:pPr>
        <w:pStyle w:val="Heading2"/>
      </w:pPr>
      <w:r>
        <w:t>Deferred tax, NOL, and Section 163(j) roll-forward</w:t>
      </w:r>
    </w:p>
    <w:p>
      <w:r>
        <w:t>Decision 1: Apply the Section 163(j) limit to current business interest first, then use opening carryforward only against remaining capacity.</w:t>
      </w:r>
    </w:p>
    <w:p>
      <w:r>
        <w:t>Decision 2: The preliminary taxable-income input already reflects a deduction for the full current-year business-interest expense; add that expense back, then subtract only the permitted current deduction and any opening carryforward used to derive taxable income before NOLs.</w:t>
      </w:r>
    </w:p>
    <w:p>
      <w:r>
        <w:t>Decision 3: Apply the statutory NOL utilization limit after the interest-limitation calculation and retain vintage balances in the roll-forward.</w:t>
      </w:r>
    </w:p>
    <w:p>
      <w:r>
        <w:t>Decision 4: Use NOL vintages oldest first; the requested ending_federal_nol headline is the numeric total ending federal NOL carryforward, not an array or schedule.</w:t>
      </w:r>
    </w:p>
    <w:p>
      <w:r>
        <w:t>Decision 5: Measure temporary differences at their documented enacted rates and keep gross DTA, gross DTL, and valuation allowance visible.</w:t>
      </w:r>
    </w:p>
    <w:p>
      <w:r>
        <w:t>Decision 6: Recognize the ending disallowed-interest carryforward as a federal DTA without duplicating the current interest deduction.</w:t>
      </w:r>
    </w:p>
    <w:p>
      <w:r>
        <w:t>Decision 7: Roll the FY26 ending NOL and disallowed-interest attributes through FY27 and FY28. Apply Section 163(j) to current interest first, use carryforward only against residual capacity, then apply the 80% NOL limitation and oldest vintages.</w:t>
      </w:r>
    </w:p>
    <w:p>
      <w:r>
        <w:t>Decision 8: Within each forecast year, use Alder Ridge's existing NOL vintages first and then the acquired-business NOL against any residual 80%-limitation capacity, with the acquired amount also capped by the annual Section 382 limit.</w:t>
      </w:r>
    </w:p>
    <w:p>
      <w:r>
        <w:t>Decision 9: Report annual current tax, ending NOL, ending interest carryforward, and the FY28 federal deferred-tax asset on those tax attributes.</w:t>
      </w:r>
    </w:p>
    <w:p>
      <w:pPr>
        <w:pStyle w:val="Heading2"/>
      </w:pPr>
      <w:r>
        <w:t>Contract modification, SSP, and revenue bridge</w:t>
      </w:r>
    </w:p>
    <w:p>
      <w:r>
        <w:t>Decision 1: Allocate the original consideration across original obligations and recognize revenue through the modification date before changing the contract.</w:t>
      </w:r>
    </w:p>
    <w:p>
      <w:r>
        <w:t>Decision 2: The original contract includes one training obligation with the documented original-date SSP; it is undelivered at modification. The modification adds one additional distinct training obligation, so the prospective training category contains two obligations measured at the modification-date training SSP.</w:t>
      </w:r>
    </w:p>
    <w:p>
      <w:r>
        <w:t>Decision 3: Because added goods are distinct but not priced at standalone selling price, account prospectively for remaining goods as a terminated-and-new contract.</w:t>
      </w:r>
    </w:p>
    <w:p>
      <w:r>
        <w:t>Decision 4: Combine remaining original consideration with modification consideration and reallocate using modification-date SSP for remaining obligations.</w:t>
      </w:r>
    </w:p>
    <w:p>
      <w:r>
        <w:t>Decision 5: Monitoring SSP and recognition must reflect both undelivered original months and the added twelve months; report one combined allocation for the two remaining training obligations and reconcile all allocations to the new pool.</w:t>
      </w:r>
    </w:p>
    <w:p>
      <w:r>
        <w:t>Decision 6: Extend the modification accounting into a Q3/Q4 prospective revenue schedule. Recognize installation by approved cumulative completion, monitoring ratably by remaining service months, and each distinct training obligation only when delivered.</w:t>
      </w:r>
    </w:p>
    <w:p>
      <w:r>
        <w:t>Decision 7: Exclude variable consideration that does not meet the signed probability threshold, reconcile quarterly revenue to the remaining allocation, and roll billings to the December contract balance.</w:t>
      </w:r>
    </w:p>
    <w:p>
      <w:pPr>
        <w:pStyle w:val="Heading2"/>
      </w:pPr>
      <w:r>
        <w:t>Free-cash-flow and non-GAAP policy reconciliation</w:t>
      </w:r>
    </w:p>
    <w:p>
      <w:r>
        <w:t>Decision 1: Reconcile from GAAP net income to GAAP EBITDA, management adjusted EBITDA, and covenant EBITDA as distinct definitions.</w:t>
      </w:r>
    </w:p>
    <w:p>
      <w:r>
        <w:t>Decision 2: Exclude ordinary recruiting and unachieved prospective savings from management adjustments even if they appear in a prior deck.</w:t>
      </w:r>
    </w:p>
    <w:p>
      <w:r>
        <w:t>Decision 3: Standard free cash flow is operating cash flow less total capex; show management adjustments separately and do not relabel them as standard FCF.</w:t>
      </w:r>
    </w:p>
    <w:p>
      <w:r>
        <w:t>Decision 4: Apply the covenant addback cap to permitted requested addbacks and calculate leverage only on the resulting covenant definition.</w:t>
      </w:r>
    </w:p>
    <w:p>
      <w:r>
        <w:t>Decision 5: For the covenant calculation, the documented permitted requested addbacks are acquisition integration cost, share-based compensation, and restructuring cash cost; apply the cap to their aggregate. The requested covenant_permitted_addbacks headline is the permitted dollar total, although an exact itemized list with amounts is also acceptable.</w:t>
      </w:r>
    </w:p>
    <w:p>
      <w:r>
        <w:t>Decision 6: Roll covenant EBITDA and funded debt into the lender downside using item-specific addback reversals and scheduled debt reduction. Reapply the documented covenant cap percentage to forecast reported EBITDA; do not carry the LTM permitted-addback dollar amount mechanically into the forecast.</w:t>
      </w:r>
    </w:p>
    <w:p>
      <w:r>
        <w:t>Decision 7: Separately test investor non-GAAP materiality and standard versus management cash conversion. Report downside leverage headroom, disclosure items, and both cash-conversion ratios.</w:t>
      </w:r>
    </w:p>
    <w:p>
      <w:pPr>
        <w:pStyle w:val="Heading2"/>
      </w:pPr>
      <w:r>
        <w:t>Stock-versus-asset transaction tax structure</w:t>
      </w:r>
    </w:p>
    <w:p>
      <w:r>
        <w:t>Decision 1: Value only the documented depreciable and amortizable tax-basis step-ups over their respective statutory lives.</w:t>
      </w:r>
    </w:p>
    <w:p>
      <w:r>
        <w:t>Decision 2: Discount annual tax shields at the approved tax-structure discount rate and keep transaction costs outside tax-basis benefits.</w:t>
      </w:r>
    </w:p>
    <w:p>
      <w:r>
        <w:t>Decision 3: Compare the total step-up benefit with seller gross-up and incremental transaction costs on a consistent buyer basis.</w:t>
      </w:r>
    </w:p>
    <w:p>
      <w:r>
        <w:t>Decision 4: The recommendation must pass legal feasibility, positive economics, and the buyer's incremental-consideration limit independently.</w:t>
      </w:r>
    </w:p>
    <w:p>
      <w:r>
        <w:t>Decision 5: Rebuild the step-up tax shield by asset class using bonus depreciation, class lives, and the mid-year convention rather than a single blended annuity.</w:t>
      </w:r>
    </w:p>
    <w:p>
      <w:r>
        <w:t>Decision 6: For each class, deduct the documented bonus amount in Year 1, apply the 0.50 mid-year factor to the remaining straight-line deduction in Year 1, use a full straight-line deduction in intermediate years, and use 1.50 times that deduction in the final recovery year so the full basis is recovered. Discount each year's tax shield at the mid-year point using an exponent of year minus 0.50.</w:t>
      </w:r>
    </w:p>
    <w:p>
      <w:r>
        <w:t>Decision 7: In the legacy labeled outputs, `annual_depreciation_tax_shield` is the combined Year-1 shield for Machinery and Building systems, while `annual_goodwill_amortization_tax_shield` and `pv_goodwill_tax_shield` are for the Goodwill class only; Customer relationships remain a separate amortizable class included in the total and class-level schedules.</w:t>
      </w:r>
    </w:p>
    <w:p>
      <w:r>
        <w:t>Decision 8: Define `incremental_asset_structure_cost` as the seller's required asset-deal gross-up plus asset-deal transaction costs minus stock-deal transaction costs.</w:t>
      </w:r>
    </w:p>
    <w:p>
      <w:r>
        <w:t>Decision 9: Define `seller_gross_up_shortfall_to_economic_ceiling` as the maximum economic seller gross-up minus the seller's required gross-up; a positive amount is headroom below the economic ceiling and a negative amount is a shortfall.</w:t>
      </w:r>
    </w:p>
    <w:p>
      <w:r>
        <w:t>Decision 10: Use the class-level shield in the buyer economics, calculate the seller gross-up shortfall to the economic ceiling, and test legal feasibility, consideration capacity, and positive NPV independently.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TAX &amp; CONTROLLERSHIP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